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3000"/>
        <w:jc w:val="center"/>
      </w:pPr>
      <w:r>
        <w:rPr>
          <w:b/>
          <w:bCs/>
          <w:color w:val="1F3864"/>
          <w:sz w:val="48"/>
          <w:szCs w:val="48"/>
        </w:rPr>
        <w:t xml:space="preserve">CALIFORNIA LEGAL WRITING</w:t>
      </w:r>
    </w:p>
    <w:p>
      <w:pPr>
        <w:spacing w:after="300"/>
        <w:jc w:val="center"/>
      </w:pPr>
      <w:r>
        <w:rPr>
          <w:i/>
          <w:iCs/>
          <w:color w:val="2E5496"/>
          <w:sz w:val="30"/>
          <w:szCs w:val="30"/>
        </w:rPr>
        <w:t xml:space="preserve">Quick-Reference Cheat Sheets</w:t>
      </w:r>
    </w:p>
    <w:p>
      <w:pPr>
        <w:jc w:val="center"/>
      </w:pPr>
      <w:r>
        <w:rPr>
          <w:color w:val="595959"/>
          <w:sz w:val="20"/>
          <w:szCs w:val="20"/>
        </w:rPr>
        <w:t xml:space="preserve">Five one-page references — print them, pin them, file faster.</w:t>
      </w:r>
    </w:p>
    <w:p>
      <w:pPr>
        <w:spacing w:before="200"/>
        <w:jc w:val="center"/>
      </w:pPr>
      <w:r>
        <w:rPr>
          <w:color w:val="808080"/>
          <w:sz w:val="16"/>
          <w:szCs w:val="16"/>
        </w:rPr>
        <w:t xml:space="preserve">1 · Superior Court pleading paper   2 · Court-by-court format   3 · Citation   4 · Document anatomy   5 · Administrative</w:t>
      </w:r>
    </w:p>
    <w:p>
      <w:r>
        <w:br w:type="page"/>
      </w:r>
    </w:p>
    <w:p>
      <w:pPr>
        <w:spacing w:after="20"/>
      </w:pPr>
      <w:r>
        <w:rPr>
          <w:b/>
          <w:bCs/>
          <w:color w:val="1F3864"/>
          <w:sz w:val="34"/>
          <w:szCs w:val="34"/>
        </w:rPr>
        <w:t xml:space="preserve">1 · Superior Court Pleading Paper</w:t>
      </w:r>
    </w:p>
    <w:p>
      <w:pPr>
        <w:pBdr>
          <w:bottom w:val="single" w:color="2E5496" w:sz="12" w:space="4"/>
        </w:pBdr>
        <w:spacing w:after="160"/>
      </w:pPr>
      <w:r>
        <w:rPr>
          <w:i/>
          <w:iCs/>
          <w:color w:val="2E5496"/>
          <w:sz w:val="20"/>
          <w:szCs w:val="20"/>
        </w:rPr>
        <w:t xml:space="preserve">California Rules of Court, Title 2 (rules 2.100–2.119) — trial-court filings</w:t>
      </w:r>
    </w:p>
    <w:tbl>
      <w:tblPr>
        <w:tblW w:type="dxa" w:w="9360"/>
        <w:tblBorders>
          <w:top w:val="single" w:color="B4C6E7" w:sz="1"/>
          <w:left w:val="single" w:color="B4C6E7" w:sz="1"/>
          <w:bottom w:val="single" w:color="B4C6E7" w:sz="1"/>
          <w:right w:val="single" w:color="B4C6E7" w:sz="1"/>
          <w:insideH w:val="single" w:color="B4C6E7" w:sz="1"/>
          <w:insideV w:val="single" w:color="B4C6E7" w:sz="1"/>
        </w:tblBorders>
      </w:tblPr>
      <w:tblGrid>
        <w:gridCol w:w="2100"/>
        <w:gridCol w:w="1100"/>
        <w:gridCol w:w="6160"/>
      </w:tblGrid>
      <w:tr>
        <w:trPr>
          <w:tblHeader/>
        </w:trPr>
        <w:tc>
          <w:tcPr>
            <w:tcW w:type="dxa" w:w="210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Element</w:t>
            </w:r>
          </w:p>
        </w:tc>
        <w:tc>
          <w:tcPr>
            <w:tcW w:type="dxa" w:w="110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Rule</w:t>
            </w:r>
          </w:p>
        </w:tc>
        <w:tc>
          <w:tcPr>
            <w:tcW w:type="dxa" w:w="616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Spec</w:t>
            </w:r>
          </w:p>
        </w:tc>
      </w:tr>
      <w:tr>
        <w:tc>
          <w:tcPr>
            <w:tcW w:type="dxa" w:w="2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Paper</w:t>
            </w:r>
          </w:p>
        </w:tc>
        <w:tc>
          <w:tcPr>
            <w:tcW w:type="dxa" w:w="1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2.106</w:t>
            </w:r>
          </w:p>
        </w:tc>
        <w:tc>
          <w:tcPr>
            <w:tcW w:type="dxa" w:w="61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8½ × 11 in., white/unbleached, one side</w:t>
            </w:r>
          </w:p>
        </w:tc>
      </w:tr>
      <w:tr>
        <w:tc>
          <w:tcPr>
            <w:tcW w:type="dxa" w:w="2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Font size</w:t>
            </w:r>
          </w:p>
        </w:tc>
        <w:tc>
          <w:tcPr>
            <w:tcW w:type="dxa" w:w="1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2.104</w:t>
            </w:r>
          </w:p>
        </w:tc>
        <w:tc>
          <w:tcPr>
            <w:tcW w:type="dxa" w:w="61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≥ 12-point</w:t>
            </w:r>
          </w:p>
        </w:tc>
      </w:tr>
      <w:tr>
        <w:tc>
          <w:tcPr>
            <w:tcW w:type="dxa" w:w="2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Font style</w:t>
            </w:r>
          </w:p>
        </w:tc>
        <w:tc>
          <w:tcPr>
            <w:tcW w:type="dxa" w:w="1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2.105</w:t>
            </w:r>
          </w:p>
        </w:tc>
        <w:tc>
          <w:tcPr>
            <w:tcW w:type="dxa" w:w="61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Equivalent to Times New Roman, Arial, or Courier</w:t>
            </w:r>
          </w:p>
        </w:tc>
      </w:tr>
      <w:tr>
        <w:tc>
          <w:tcPr>
            <w:tcW w:type="dxa" w:w="2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Left margin</w:t>
            </w:r>
          </w:p>
        </w:tc>
        <w:tc>
          <w:tcPr>
            <w:tcW w:type="dxa" w:w="1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2.107</w:t>
            </w:r>
          </w:p>
        </w:tc>
        <w:tc>
          <w:tcPr>
            <w:tcW w:type="dxa" w:w="61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≥ 1 inch</w:t>
            </w:r>
          </w:p>
        </w:tc>
      </w:tr>
      <w:tr>
        <w:tc>
          <w:tcPr>
            <w:tcW w:type="dxa" w:w="2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Right margin</w:t>
            </w:r>
          </w:p>
        </w:tc>
        <w:tc>
          <w:tcPr>
            <w:tcW w:type="dxa" w:w="1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2.107</w:t>
            </w:r>
          </w:p>
        </w:tc>
        <w:tc>
          <w:tcPr>
            <w:tcW w:type="dxa" w:w="61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≥ ½ inch</w:t>
            </w:r>
          </w:p>
        </w:tc>
      </w:tr>
      <w:tr>
        <w:tc>
          <w:tcPr>
            <w:tcW w:type="dxa" w:w="2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Line spacing</w:t>
            </w:r>
          </w:p>
        </w:tc>
        <w:tc>
          <w:tcPr>
            <w:tcW w:type="dxa" w:w="1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2.108</w:t>
            </w:r>
          </w:p>
        </w:tc>
        <w:tc>
          <w:tcPr>
            <w:tcW w:type="dxa" w:w="61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1½ or double; footnotes/quotes may be single</w:t>
            </w:r>
          </w:p>
        </w:tc>
      </w:tr>
      <w:tr>
        <w:tc>
          <w:tcPr>
            <w:tcW w:type="dxa" w:w="2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Line numbers</w:t>
            </w:r>
          </w:p>
        </w:tc>
        <w:tc>
          <w:tcPr>
            <w:tcW w:type="dxa" w:w="1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2.108</w:t>
            </w:r>
          </w:p>
        </w:tc>
        <w:tc>
          <w:tcPr>
            <w:tcW w:type="dxa" w:w="61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Left margin, restart at 1 each page, ≥ 3 per inch</w:t>
            </w:r>
          </w:p>
        </w:tc>
      </w:tr>
      <w:tr>
        <w:tc>
          <w:tcPr>
            <w:tcW w:type="dxa" w:w="2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Page numbers</w:t>
            </w:r>
          </w:p>
        </w:tc>
        <w:tc>
          <w:tcPr>
            <w:tcW w:type="dxa" w:w="1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2.109</w:t>
            </w:r>
          </w:p>
        </w:tc>
        <w:tc>
          <w:tcPr>
            <w:tcW w:type="dxa" w:w="61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Consecutive, at bottom</w:t>
            </w:r>
          </w:p>
        </w:tc>
      </w:tr>
      <w:tr>
        <w:tc>
          <w:tcPr>
            <w:tcW w:type="dxa" w:w="2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Footer</w:t>
            </w:r>
          </w:p>
        </w:tc>
        <w:tc>
          <w:tcPr>
            <w:tcW w:type="dxa" w:w="1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2.110</w:t>
            </w:r>
          </w:p>
        </w:tc>
        <w:tc>
          <w:tcPr>
            <w:tcW w:type="dxa" w:w="61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Document title (or clear abbreviation) on each page</w:t>
            </w:r>
          </w:p>
        </w:tc>
      </w:tr>
      <w:tr>
        <w:tc>
          <w:tcPr>
            <w:tcW w:type="dxa" w:w="2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First page</w:t>
            </w:r>
          </w:p>
        </w:tc>
        <w:tc>
          <w:tcPr>
            <w:tcW w:type="dxa" w:w="11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2.111</w:t>
            </w:r>
          </w:p>
        </w:tc>
        <w:tc>
          <w:tcPr>
            <w:tcW w:type="dxa" w:w="61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Counsel block, court title, caption, doc title</w:t>
            </w:r>
          </w:p>
        </w:tc>
      </w:tr>
      <w:tr>
        <w:tc>
          <w:tcPr>
            <w:tcW w:type="dxa" w:w="2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Counts</w:t>
            </w:r>
          </w:p>
        </w:tc>
        <w:tc>
          <w:tcPr>
            <w:tcW w:type="dxa" w:w="11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2.112</w:t>
            </w:r>
          </w:p>
        </w:tc>
        <w:tc>
          <w:tcPr>
            <w:tcW w:type="dxa" w:w="61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Each cause of action separately stated &amp; numbered</w:t>
            </w:r>
          </w:p>
        </w:tc>
      </w:tr>
    </w:tbl>
    <w:p>
      <w:pPr>
        <w:spacing w:after="140"/>
      </w:pPr>
    </w:p>
    <w:tbl>
      <w:tblPr>
        <w:tblW w:type="dxa" w:w="9360"/>
        <w:tblBorders>
          <w:top w:val="single" w:color="2E5496" w:sz="6"/>
          <w:left w:val="single" w:color="2E5496" w:sz="6"/>
          <w:bottom w:val="single" w:color="2E5496" w:sz="6"/>
          <w:right w:val="single" w:color="2E5496" w:sz="6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b/>
                <w:bCs/>
                <w:color w:val="1F3864"/>
                <w:sz w:val="19"/>
                <w:szCs w:val="19"/>
              </w:rPr>
              <w:t xml:space="preserve">First-page order (top → bottom)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1. </w:t>
            </w:r>
            <w:r>
              <w:rPr>
                <w:sz w:val="18"/>
                <w:szCs w:val="18"/>
              </w:rPr>
              <w:t xml:space="preserve">Counsel block, upper-left, line 1: name, </w:t>
            </w:r>
            <w:r>
              <w:rPr>
                <w:b/>
                <w:bCs/>
              </w:rPr>
              <w:t xml:space="preserve">State Bar #</w:t>
            </w:r>
            <w:r>
              <w:rPr>
                <w:sz w:val="18"/>
                <w:szCs w:val="18"/>
              </w:rPr>
              <w:t xml:space="preserve">, address, phone, fax, e-mail, party represented.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2. </w:t>
            </w:r>
            <w:r>
              <w:rPr>
                <w:sz w:val="18"/>
                <w:szCs w:val="18"/>
              </w:rPr>
              <w:t xml:space="preserve">Clerk’s space, upper-right (leave blank).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3. </w:t>
            </w:r>
            <w:r>
              <w:rPr>
                <w:sz w:val="18"/>
                <w:szCs w:val="18"/>
              </w:rPr>
              <w:t xml:space="preserve">Court title, centered, ~line 8 (3⅓ in. from top).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4. </w:t>
            </w:r>
            <w:r>
              <w:rPr>
                <w:sz w:val="18"/>
                <w:szCs w:val="18"/>
              </w:rPr>
              <w:t xml:space="preserve">Caption: parties left; case number + nature of paper right.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5. </w:t>
            </w:r>
            <w:r>
              <w:rPr>
                <w:sz w:val="18"/>
                <w:szCs w:val="18"/>
              </w:rPr>
              <w:t xml:space="preserve">Document title (e.g., COMPLAINT FOR DAMAGES).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C55A11" w:sz="6"/>
          <w:left w:val="single" w:color="C55A11" w:sz="6"/>
          <w:bottom w:val="single" w:color="C55A11" w:sz="6"/>
          <w:right w:val="single" w:color="C55A11" w:sz="6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BE4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b/>
                <w:bCs/>
                <w:color w:val="1F3864"/>
                <w:sz w:val="19"/>
                <w:szCs w:val="19"/>
              </w:rPr>
              <w:t xml:space="preserve">Don’t forget</w:t>
            </w:r>
          </w:p>
          <w:p>
            <w:pPr>
              <w:spacing w:after="30" w:line="244"/>
            </w:pPr>
            <w:r>
              <w:rPr>
                <w:sz w:val="18"/>
                <w:szCs w:val="18"/>
              </w:rPr>
              <w:t xml:space="preserve">Verification (penalty of perjury) on verified pleadings. Proof of service on everything filed. Mandatory Judicial Council forms (SUM-100, CM-010, FW-001). E-file as a flattened, text-searchable PDF.</w:t>
            </w:r>
          </w:p>
        </w:tc>
      </w:tr>
    </w:tbl>
    <w:p>
      <w:r>
        <w:br w:type="page"/>
      </w:r>
    </w:p>
    <w:p>
      <w:pPr>
        <w:spacing w:after="20"/>
      </w:pPr>
      <w:r>
        <w:rPr>
          <w:b/>
          <w:bCs/>
          <w:color w:val="1F3864"/>
          <w:sz w:val="34"/>
          <w:szCs w:val="34"/>
        </w:rPr>
        <w:t xml:space="preserve">2 · Court-by-Court Format Comparison</w:t>
      </w:r>
    </w:p>
    <w:p>
      <w:pPr>
        <w:pBdr>
          <w:bottom w:val="single" w:color="2E5496" w:sz="12" w:space="4"/>
        </w:pBdr>
        <w:spacing w:after="160"/>
      </w:pPr>
      <w:r>
        <w:rPr>
          <w:i/>
          <w:iCs/>
          <w:color w:val="2E5496"/>
          <w:sz w:val="20"/>
          <w:szCs w:val="20"/>
        </w:rPr>
        <w:t xml:space="preserve">The same brief will be rejected in the wrong forum — match the format to the court</w:t>
      </w:r>
    </w:p>
    <w:tbl>
      <w:tblPr>
        <w:tblW w:type="dxa" w:w="9360"/>
        <w:tblBorders>
          <w:top w:val="single" w:color="B4C6E7" w:sz="1"/>
          <w:left w:val="single" w:color="B4C6E7" w:sz="1"/>
          <w:bottom w:val="single" w:color="B4C6E7" w:sz="1"/>
          <w:right w:val="single" w:color="B4C6E7" w:sz="1"/>
          <w:insideH w:val="single" w:color="B4C6E7" w:sz="1"/>
          <w:insideV w:val="single" w:color="B4C6E7" w:sz="1"/>
        </w:tblBorders>
      </w:tblPr>
      <w:tblGrid>
        <w:gridCol w:w="1500"/>
        <w:gridCol w:w="2050"/>
        <w:gridCol w:w="1950"/>
        <w:gridCol w:w="1950"/>
        <w:gridCol w:w="1910"/>
      </w:tblGrid>
      <w:tr>
        <w:trPr>
          <w:tblHeader/>
        </w:trPr>
        <w:tc>
          <w:tcPr>
            <w:tcW w:type="dxa" w:w="150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205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 Superior (trial)</w:t>
            </w:r>
          </w:p>
        </w:tc>
        <w:tc>
          <w:tcPr>
            <w:tcW w:type="dxa" w:w="195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 Court of Appeal</w:t>
            </w:r>
          </w:p>
        </w:tc>
        <w:tc>
          <w:tcPr>
            <w:tcW w:type="dxa" w:w="195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Fed. District (CA)</w:t>
            </w:r>
          </w:p>
        </w:tc>
        <w:tc>
          <w:tcPr>
            <w:tcW w:type="dxa" w:w="191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Ninth Circuit</w:t>
            </w:r>
          </w:p>
        </w:tc>
      </w:tr>
      <w:tr>
        <w:tc>
          <w:tcPr>
            <w:tcW w:type="dxa" w:w="15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Authority</w:t>
            </w:r>
          </w:p>
        </w:tc>
        <w:tc>
          <w:tcPr>
            <w:tcW w:type="dxa" w:w="20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CRC Title 2</w:t>
            </w:r>
          </w:p>
        </w:tc>
        <w:tc>
          <w:tcPr>
            <w:tcW w:type="dxa" w:w="19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CRC Title 8 (8.204)</w:t>
            </w:r>
          </w:p>
        </w:tc>
        <w:tc>
          <w:tcPr>
            <w:tcW w:type="dxa" w:w="19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Local rules + FRCP</w:t>
            </w:r>
          </w:p>
        </w:tc>
        <w:tc>
          <w:tcPr>
            <w:tcW w:type="dxa" w:w="191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FRAP 28/32 + 9th Cir. R.</w:t>
            </w:r>
          </w:p>
        </w:tc>
      </w:tr>
      <w:tr>
        <w:tc>
          <w:tcPr>
            <w:tcW w:type="dxa" w:w="15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Line numbers?</w:t>
            </w:r>
          </w:p>
        </w:tc>
        <w:tc>
          <w:tcPr>
            <w:tcW w:type="dxa" w:w="20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Yes (pleading paper)</w:t>
            </w:r>
          </w:p>
        </w:tc>
        <w:tc>
          <w:tcPr>
            <w:tcW w:type="dxa" w:w="19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No</w:t>
            </w:r>
          </w:p>
        </w:tc>
        <w:tc>
          <w:tcPr>
            <w:tcW w:type="dxa" w:w="19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Yes (≤28 lines)</w:t>
            </w:r>
          </w:p>
        </w:tc>
        <w:tc>
          <w:tcPr>
            <w:tcW w:type="dxa" w:w="191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15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Font size</w:t>
            </w:r>
          </w:p>
        </w:tc>
        <w:tc>
          <w:tcPr>
            <w:tcW w:type="dxa" w:w="20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≥12-pt</w:t>
            </w:r>
          </w:p>
        </w:tc>
        <w:tc>
          <w:tcPr>
            <w:tcW w:type="dxa" w:w="19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≥13-pt</w:t>
            </w:r>
          </w:p>
        </w:tc>
        <w:tc>
          <w:tcPr>
            <w:tcW w:type="dxa" w:w="19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≥12-pt</w:t>
            </w:r>
          </w:p>
        </w:tc>
        <w:tc>
          <w:tcPr>
            <w:tcW w:type="dxa" w:w="191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≥14-pt proportional serif</w:t>
            </w:r>
          </w:p>
        </w:tc>
      </w:tr>
      <w:tr>
        <w:tc>
          <w:tcPr>
            <w:tcW w:type="dxa" w:w="15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Spacing</w:t>
            </w:r>
          </w:p>
        </w:tc>
        <w:tc>
          <w:tcPr>
            <w:tcW w:type="dxa" w:w="20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1½ / double</w:t>
            </w:r>
          </w:p>
        </w:tc>
        <w:tc>
          <w:tcPr>
            <w:tcW w:type="dxa" w:w="19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1½</w:t>
            </w:r>
          </w:p>
        </w:tc>
        <w:tc>
          <w:tcPr>
            <w:tcW w:type="dxa" w:w="19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Double</w:t>
            </w:r>
          </w:p>
        </w:tc>
        <w:tc>
          <w:tcPr>
            <w:tcW w:type="dxa" w:w="191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Double</w:t>
            </w:r>
          </w:p>
        </w:tc>
      </w:tr>
      <w:tr>
        <w:tc>
          <w:tcPr>
            <w:tcW w:type="dxa" w:w="15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Length limit</w:t>
            </w:r>
          </w:p>
        </w:tc>
        <w:tc>
          <w:tcPr>
            <w:tcW w:type="dxa" w:w="20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Memo ≤15 pp (SJ ≤20)</w:t>
            </w:r>
          </w:p>
        </w:tc>
        <w:tc>
          <w:tcPr>
            <w:tcW w:type="dxa" w:w="19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14,000 words</w:t>
            </w:r>
          </w:p>
        </w:tc>
        <w:tc>
          <w:tcPr>
            <w:tcW w:type="dxa" w:w="19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Per local rule (~25 pp)</w:t>
            </w:r>
          </w:p>
        </w:tc>
        <w:tc>
          <w:tcPr>
            <w:tcW w:type="dxa" w:w="191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13,000 w / reply 6,500 w</w:t>
            </w:r>
          </w:p>
        </w:tc>
      </w:tr>
      <w:tr>
        <w:tc>
          <w:tcPr>
            <w:tcW w:type="dxa" w:w="15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Cert. of count?</w:t>
            </w:r>
          </w:p>
        </w:tc>
        <w:tc>
          <w:tcPr>
            <w:tcW w:type="dxa" w:w="20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No</w:t>
            </w:r>
          </w:p>
        </w:tc>
        <w:tc>
          <w:tcPr>
            <w:tcW w:type="dxa" w:w="19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Yes (word count)</w:t>
            </w:r>
          </w:p>
        </w:tc>
        <w:tc>
          <w:tcPr>
            <w:tcW w:type="dxa" w:w="19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Sometimes</w:t>
            </w:r>
          </w:p>
        </w:tc>
        <w:tc>
          <w:tcPr>
            <w:tcW w:type="dxa" w:w="191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Yes (FRAP 32(g))</w:t>
            </w:r>
          </w:p>
        </w:tc>
      </w:tr>
      <w:tr>
        <w:tc>
          <w:tcPr>
            <w:tcW w:type="dxa" w:w="15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Cover color</w:t>
            </w:r>
          </w:p>
        </w:tc>
        <w:tc>
          <w:tcPr>
            <w:tcW w:type="dxa" w:w="20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n/a</w:t>
            </w:r>
          </w:p>
        </w:tc>
        <w:tc>
          <w:tcPr>
            <w:tcW w:type="dxa" w:w="19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Green/Yellow/Tan</w:t>
            </w:r>
          </w:p>
        </w:tc>
        <w:tc>
          <w:tcPr>
            <w:tcW w:type="dxa" w:w="195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n/a</w:t>
            </w:r>
          </w:p>
        </w:tc>
        <w:tc>
          <w:tcPr>
            <w:tcW w:type="dxa" w:w="191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Blue/Red/Gray/Green</w:t>
            </w:r>
          </w:p>
        </w:tc>
      </w:tr>
      <w:tr>
        <w:tc>
          <w:tcPr>
            <w:tcW w:type="dxa" w:w="15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Filing</w:t>
            </w:r>
          </w:p>
        </w:tc>
        <w:tc>
          <w:tcPr>
            <w:tcW w:type="dxa" w:w="20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e-file portal</w:t>
            </w:r>
          </w:p>
        </w:tc>
        <w:tc>
          <w:tcPr>
            <w:tcW w:type="dxa" w:w="19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TrueFiling</w:t>
            </w:r>
          </w:p>
        </w:tc>
        <w:tc>
          <w:tcPr>
            <w:tcW w:type="dxa" w:w="195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CM/ECF</w:t>
            </w:r>
          </w:p>
        </w:tc>
        <w:tc>
          <w:tcPr>
            <w:tcW w:type="dxa" w:w="191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CM/ECF (appellate)</w:t>
            </w:r>
          </w:p>
        </w:tc>
      </w:tr>
    </w:tbl>
    <w:p>
      <w:pPr>
        <w:spacing w:after="140"/>
      </w:pPr>
    </w:p>
    <w:tbl>
      <w:tblPr>
        <w:tblW w:type="dxa" w:w="9360"/>
        <w:tblBorders>
          <w:top w:val="single" w:color="2E5496" w:sz="6"/>
          <w:left w:val="single" w:color="2E5496" w:sz="6"/>
          <w:bottom w:val="single" w:color="2E5496" w:sz="6"/>
          <w:right w:val="single" w:color="2E5496" w:sz="6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b/>
                <w:bCs/>
                <w:color w:val="1F3864"/>
                <w:sz w:val="19"/>
                <w:szCs w:val="19"/>
              </w:rPr>
              <w:t xml:space="preserve">Cover colors (paper filings)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CA appellate: </w:t>
            </w:r>
            <w:r>
              <w:rPr>
                <w:sz w:val="18"/>
                <w:szCs w:val="18"/>
              </w:rPr>
              <w:t xml:space="preserve">Appellant opening = Green · Respondent = Yellow · Reply = Tan.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Ninth Circuit: </w:t>
            </w:r>
            <w:r>
              <w:rPr>
                <w:sz w:val="18"/>
                <w:szCs w:val="18"/>
              </w:rPr>
              <w:t xml:space="preserve">Appellant/opening = Blue · Appellee = Red · Amicus/intervenor = Gray · Reply = Green.</w:t>
            </w:r>
          </w:p>
          <w:p>
            <w:pPr>
              <w:spacing w:after="30" w:line="244"/>
            </w:pPr>
            <w:r>
              <w:rPr>
                <w:i/>
                <w:iCs/>
                <w:sz w:val="18"/>
                <w:szCs w:val="18"/>
              </w:rPr>
              <w:t xml:space="preserve">Electronic filings are exempt from color rules, but captions still identify the brief.</w:t>
            </w:r>
          </w:p>
        </w:tc>
      </w:tr>
    </w:tbl>
    <w:p>
      <w:r>
        <w:br w:type="page"/>
      </w:r>
    </w:p>
    <w:p>
      <w:pPr>
        <w:spacing w:after="20"/>
      </w:pPr>
      <w:r>
        <w:rPr>
          <w:b/>
          <w:bCs/>
          <w:color w:val="1F3864"/>
          <w:sz w:val="34"/>
          <w:szCs w:val="34"/>
        </w:rPr>
        <w:t xml:space="preserve">3 · Citation Quick Reference</w:t>
      </w:r>
    </w:p>
    <w:p>
      <w:pPr>
        <w:pBdr>
          <w:bottom w:val="single" w:color="2E5496" w:sz="12" w:space="4"/>
        </w:pBdr>
        <w:spacing w:after="160"/>
      </w:pPr>
      <w:r>
        <w:rPr>
          <w:i/>
          <w:iCs/>
          <w:color w:val="2E5496"/>
          <w:sz w:val="20"/>
          <w:szCs w:val="20"/>
        </w:rPr>
        <w:t xml:space="preserve">CRC 1.200 — use the California Style Manual OR the Bluebook, consistently</w:t>
      </w:r>
    </w:p>
    <w:tbl>
      <w:tblPr>
        <w:tblW w:type="dxa" w:w="9360"/>
        <w:tblBorders>
          <w:top w:val="single" w:color="B4C6E7" w:sz="1"/>
          <w:left w:val="single" w:color="B4C6E7" w:sz="1"/>
          <w:bottom w:val="single" w:color="B4C6E7" w:sz="1"/>
          <w:right w:val="single" w:color="B4C6E7" w:sz="1"/>
          <w:insideH w:val="single" w:color="B4C6E7" w:sz="1"/>
          <w:insideV w:val="single" w:color="B4C6E7" w:sz="1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  <w:tc>
          <w:tcPr>
            <w:tcW w:type="dxa" w:w="676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California Style Manual form</w:t>
            </w:r>
          </w:p>
        </w:tc>
      </w:tr>
      <w:tr>
        <w:tc>
          <w:tcPr>
            <w:tcW w:type="dxa" w:w="26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Cal. Supreme Court</w:t>
            </w:r>
          </w:p>
        </w:tc>
        <w:tc>
          <w:tcPr>
            <w:tcW w:type="dxa" w:w="67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People v. Brown (2016) 61 Cal.4th 968, 974.</w:t>
            </w:r>
          </w:p>
        </w:tc>
      </w:tr>
      <w:tr>
        <w:tc>
          <w:tcPr>
            <w:tcW w:type="dxa" w:w="26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Court of Appeal</w:t>
            </w:r>
          </w:p>
        </w:tc>
        <w:tc>
          <w:tcPr>
            <w:tcW w:type="dxa" w:w="67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Smith v. Jones (2019) 35 Cal.App.5th 1123, 1130.</w:t>
            </w:r>
          </w:p>
        </w:tc>
      </w:tr>
      <w:tr>
        <w:tc>
          <w:tcPr>
            <w:tcW w:type="dxa" w:w="26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California statute</w:t>
            </w:r>
          </w:p>
        </w:tc>
        <w:tc>
          <w:tcPr>
            <w:tcW w:type="dxa" w:w="67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Code Civ. Proc., § 437c, subd. (c).</w:t>
            </w:r>
          </w:p>
        </w:tc>
      </w:tr>
      <w:tr>
        <w:tc>
          <w:tcPr>
            <w:tcW w:type="dxa" w:w="26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Rule of Court</w:t>
            </w:r>
          </w:p>
        </w:tc>
        <w:tc>
          <w:tcPr>
            <w:tcW w:type="dxa" w:w="67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Cal. Rules of Court, rule 3.1350.</w:t>
            </w:r>
          </w:p>
        </w:tc>
      </w:tr>
      <w:tr>
        <w:tc>
          <w:tcPr>
            <w:tcW w:type="dxa" w:w="26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Regulation</w:t>
            </w:r>
          </w:p>
        </w:tc>
        <w:tc>
          <w:tcPr>
            <w:tcW w:type="dxa" w:w="67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Cal. Code Regs., tit. 8, § 10510.</w:t>
            </w:r>
          </w:p>
        </w:tc>
      </w:tr>
      <w:tr>
        <w:tc>
          <w:tcPr>
            <w:tcW w:type="dxa" w:w="26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U.S. Supreme Court</w:t>
            </w:r>
          </w:p>
        </w:tc>
        <w:tc>
          <w:tcPr>
            <w:tcW w:type="dxa" w:w="67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Ashcroft v. Iqbal (2009) 556 U.S. 662, 678.</w:t>
            </w:r>
          </w:p>
        </w:tc>
      </w:tr>
      <w:tr>
        <w:tc>
          <w:tcPr>
            <w:tcW w:type="dxa" w:w="26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Record on appeal</w:t>
            </w:r>
          </w:p>
        </w:tc>
        <w:tc>
          <w:tcPr>
            <w:tcW w:type="dxa" w:w="67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(2 CT 145); (3 RT 512:6–19).</w:t>
            </w:r>
          </w:p>
        </w:tc>
      </w:tr>
    </w:tbl>
    <w:p>
      <w:pPr>
        <w:spacing w:after="140"/>
      </w:pPr>
    </w:p>
    <w:tbl>
      <w:tblPr>
        <w:tblW w:type="dxa" w:w="9360"/>
        <w:tblBorders>
          <w:top w:val="single" w:color="2E5496" w:sz="6"/>
          <w:left w:val="single" w:color="2E5496" w:sz="6"/>
          <w:bottom w:val="single" w:color="2E5496" w:sz="6"/>
          <w:right w:val="single" w:color="2E5496" w:sz="6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b/>
                <w:bCs/>
                <w:color w:val="1F3864"/>
                <w:sz w:val="19"/>
                <w:szCs w:val="19"/>
              </w:rPr>
              <w:t xml:space="preserve">Signals &amp; mechanics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Signals: </w:t>
            </w:r>
            <w:r>
              <w:rPr>
                <w:sz w:val="18"/>
                <w:szCs w:val="18"/>
              </w:rPr>
              <w:t xml:space="preserve">see · see also · e.g. · cf. · compare … with · but see · accord.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Pincite always: </w:t>
            </w:r>
            <w:r>
              <w:rPr>
                <w:sz w:val="18"/>
                <w:szCs w:val="18"/>
              </w:rPr>
              <w:t xml:space="preserve">give the exact page (and line where useful).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Block quote: </w:t>
            </w:r>
            <w:r>
              <w:rPr>
                <w:sz w:val="18"/>
                <w:szCs w:val="18"/>
              </w:rPr>
              <w:t xml:space="preserve">indent &amp; set off quotations of 50+ words; may be single-spaced.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Id./supra: </w:t>
            </w:r>
            <w:r>
              <w:rPr>
                <w:sz w:val="18"/>
                <w:szCs w:val="18"/>
              </w:rPr>
              <w:t xml:space="preserve">“id.” = the immediately preceding single authority; “supra” = an earlier-cited one.</w:t>
            </w:r>
          </w:p>
          <w:p>
            <w:pPr>
              <w:spacing w:after="30" w:line="244"/>
            </w:pPr>
            <w:r>
              <w:rPr>
                <w:b/>
                <w:bCs/>
              </w:rPr>
              <w:t xml:space="preserve">Bluebook ≠ Style Manual: </w:t>
            </w:r>
            <w:r>
              <w:rPr>
                <w:sz w:val="18"/>
                <w:szCs w:val="18"/>
              </w:rPr>
              <w:t xml:space="preserve">year placement, reporter abbreviations, and statute form differ — never blend.</w:t>
            </w:r>
          </w:p>
        </w:tc>
      </w:tr>
    </w:tbl>
    <w:p>
      <w:r>
        <w:br w:type="page"/>
      </w:r>
    </w:p>
    <w:p>
      <w:pPr>
        <w:spacing w:after="20"/>
      </w:pPr>
      <w:r>
        <w:rPr>
          <w:b/>
          <w:bCs/>
          <w:color w:val="1F3864"/>
          <w:sz w:val="34"/>
          <w:szCs w:val="34"/>
        </w:rPr>
        <w:t xml:space="preserve">4 · Document Anatomy</w:t>
      </w:r>
    </w:p>
    <w:p>
      <w:pPr>
        <w:pBdr>
          <w:bottom w:val="single" w:color="2E5496" w:sz="12" w:space="4"/>
        </w:pBdr>
        <w:spacing w:after="160"/>
      </w:pPr>
      <w:r>
        <w:rPr>
          <w:i/>
          <w:iCs/>
          <w:color w:val="2E5496"/>
          <w:sz w:val="20"/>
          <w:szCs w:val="20"/>
        </w:rPr>
        <w:t xml:space="preserve">What goes in each major filing, and in what order</w:t>
      </w:r>
    </w:p>
    <w:tbl>
      <w:tblPr>
        <w:tblW w:type="dxa" w:w="9360"/>
        <w:tblBorders>
          <w:top w:val="single" w:color="B4C6E7" w:sz="1"/>
          <w:left w:val="single" w:color="B4C6E7" w:sz="1"/>
          <w:bottom w:val="single" w:color="B4C6E7" w:sz="1"/>
          <w:right w:val="single" w:color="B4C6E7" w:sz="1"/>
          <w:insideH w:val="single" w:color="B4C6E7" w:sz="1"/>
          <w:insideV w:val="single" w:color="B4C6E7" w:sz="1"/>
        </w:tblBorders>
      </w:tblPr>
      <w:tblGrid>
        <w:gridCol w:w="1900"/>
        <w:gridCol w:w="7460"/>
      </w:tblGrid>
      <w:tr>
        <w:trPr>
          <w:tblHeader/>
        </w:trPr>
        <w:tc>
          <w:tcPr>
            <w:tcW w:type="dxa" w:w="190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Document</w:t>
            </w:r>
          </w:p>
        </w:tc>
        <w:tc>
          <w:tcPr>
            <w:tcW w:type="dxa" w:w="746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Order of parts</w:t>
            </w:r>
          </w:p>
        </w:tc>
      </w:tr>
      <w:tr>
        <w:tc>
          <w:tcPr>
            <w:tcW w:type="dxa" w:w="19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Complaint</w:t>
            </w:r>
          </w:p>
        </w:tc>
        <w:tc>
          <w:tcPr>
            <w:tcW w:type="dxa" w:w="74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Caption → jurisdiction/venue → parties → general allegations → each cause of action (numbered) → prayer → jury demand → signature → verification</w:t>
            </w:r>
          </w:p>
        </w:tc>
      </w:tr>
      <w:tr>
        <w:tc>
          <w:tcPr>
            <w:tcW w:type="dxa" w:w="19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Noticed motion</w:t>
            </w:r>
          </w:p>
        </w:tc>
        <w:tc>
          <w:tcPr>
            <w:tcW w:type="dxa" w:w="74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Notice of Motion (date/time/dept, relief, grounds) → Memo of P&amp;A → Declaration(s) + exhibits → Proposed Order → (separate statement if required)</w:t>
            </w:r>
          </w:p>
        </w:tc>
      </w:tr>
      <w:tr>
        <w:tc>
          <w:tcPr>
            <w:tcW w:type="dxa" w:w="19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Memorandum (P&amp;A)</w:t>
            </w:r>
          </w:p>
        </w:tc>
        <w:tc>
          <w:tcPr>
            <w:tcW w:type="dxa" w:w="74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Introduction → Statement of Facts → Legal Standard → Argument (point headings as conclusions) → Conclusion</w:t>
            </w:r>
          </w:p>
        </w:tc>
      </w:tr>
      <w:tr>
        <w:tc>
          <w:tcPr>
            <w:tcW w:type="dxa" w:w="19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Declaration</w:t>
            </w:r>
          </w:p>
        </w:tc>
        <w:tc>
          <w:tcPr>
            <w:tcW w:type="dxa" w:w="74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Personal-knowledge intro → numbered fact paragraphs → exhibit authentication → penalty-of-perjury clause → date/place/signature</w:t>
            </w:r>
          </w:p>
        </w:tc>
      </w:tr>
      <w:tr>
        <w:tc>
          <w:tcPr>
            <w:tcW w:type="dxa" w:w="19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Appellate brief</w:t>
            </w:r>
          </w:p>
        </w:tc>
        <w:tc>
          <w:tcPr>
            <w:tcW w:type="dxa" w:w="74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Cover → Cert. of Interested Entities → tables → statement of case/appealability → statement of facts (record cites) → argument → conclusion → signature → word-count cert.</w:t>
            </w:r>
          </w:p>
        </w:tc>
      </w:tr>
      <w:tr>
        <w:tc>
          <w:tcPr>
            <w:tcW w:type="dxa" w:w="19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Proof of service</w:t>
            </w:r>
          </w:p>
        </w:tc>
        <w:tc>
          <w:tcPr>
            <w:tcW w:type="dxa" w:w="74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Declarant over 18 &amp; not a party → documents served → manner → date → persons/addresses served → signature</w:t>
            </w:r>
          </w:p>
        </w:tc>
      </w:tr>
    </w:tbl>
    <w:p>
      <w:pPr>
        <w:spacing w:after="140"/>
      </w:pPr>
    </w:p>
    <w:tbl>
      <w:tblPr>
        <w:tblW w:type="dxa" w:w="9360"/>
        <w:tblBorders>
          <w:top w:val="single" w:color="548235" w:sz="6"/>
          <w:left w:val="single" w:color="548235" w:sz="6"/>
          <w:bottom w:val="single" w:color="548235" w:sz="6"/>
          <w:right w:val="single" w:color="548235" w:sz="6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E2EFD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b/>
                <w:bCs/>
                <w:color w:val="1F3864"/>
                <w:sz w:val="19"/>
                <w:szCs w:val="19"/>
              </w:rPr>
              <w:t xml:space="preserve">Drafting moves that read as professional</w:t>
            </w:r>
          </w:p>
          <w:p>
            <w:pPr>
              <w:spacing w:after="30" w:line="244"/>
            </w:pPr>
            <w:r>
              <w:rPr>
                <w:sz w:val="18"/>
                <w:szCs w:val="18"/>
              </w:rPr>
              <w:t xml:space="preserve">Lead with the conclusion, then support it. Active voice, present tense for rules. Define each party/term once and reuse it. Use IRAC/CRAC inside every argument. Make point headings full sentences. Cut doublets (“null and void,” “each and every”).</w:t>
            </w:r>
          </w:p>
        </w:tc>
      </w:tr>
    </w:tbl>
    <w:p>
      <w:r>
        <w:br w:type="page"/>
      </w:r>
    </w:p>
    <w:p>
      <w:pPr>
        <w:spacing w:after="20"/>
      </w:pPr>
      <w:r>
        <w:rPr>
          <w:b/>
          <w:bCs/>
          <w:color w:val="1F3864"/>
          <w:sz w:val="34"/>
          <w:szCs w:val="34"/>
        </w:rPr>
        <w:t xml:space="preserve">5 · Administrative Bodies</w:t>
      </w:r>
    </w:p>
    <w:p>
      <w:pPr>
        <w:pBdr>
          <w:bottom w:val="single" w:color="2E5496" w:sz="12" w:space="4"/>
        </w:pBdr>
        <w:spacing w:after="160"/>
      </w:pPr>
      <w:r>
        <w:rPr>
          <w:i/>
          <w:iCs/>
          <w:color w:val="2E5496"/>
          <w:sz w:val="20"/>
          <w:szCs w:val="20"/>
        </w:rPr>
        <w:t xml:space="preserve">Agencies use the Cal. Code of Regs., not the Rules of Court — verify the regulation first</w:t>
      </w:r>
    </w:p>
    <w:tbl>
      <w:tblPr>
        <w:tblW w:type="dxa" w:w="9360"/>
        <w:tblBorders>
          <w:top w:val="single" w:color="B4C6E7" w:sz="1"/>
          <w:left w:val="single" w:color="B4C6E7" w:sz="1"/>
          <w:bottom w:val="single" w:color="B4C6E7" w:sz="1"/>
          <w:right w:val="single" w:color="B4C6E7" w:sz="1"/>
          <w:insideH w:val="single" w:color="B4C6E7" w:sz="1"/>
          <w:insideV w:val="single" w:color="B4C6E7" w:sz="1"/>
        </w:tblBorders>
      </w:tblPr>
      <w:tblGrid>
        <w:gridCol w:w="1800"/>
        <w:gridCol w:w="2560"/>
        <w:gridCol w:w="5000"/>
      </w:tblGrid>
      <w:tr>
        <w:trPr>
          <w:tblHeader/>
        </w:trPr>
        <w:tc>
          <w:tcPr>
            <w:tcW w:type="dxa" w:w="180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Body</w:t>
            </w:r>
          </w:p>
        </w:tc>
        <w:tc>
          <w:tcPr>
            <w:tcW w:type="dxa" w:w="256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Governing rules</w:t>
            </w:r>
          </w:p>
        </w:tc>
        <w:tc>
          <w:tcPr>
            <w:tcW w:type="dxa" w:w="5000"/>
            <w:shd w:fill="2E5496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Format / key points</w:t>
            </w:r>
          </w:p>
        </w:tc>
      </w:tr>
      <w:tr>
        <w:tc>
          <w:tcPr>
            <w:tcW w:type="dxa" w:w="18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OAH</w:t>
            </w:r>
          </w:p>
        </w:tc>
        <w:tc>
          <w:tcPr>
            <w:tcW w:type="dxa" w:w="25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Gov. Code §11340+; 1 CCR §1000+</w:t>
            </w:r>
          </w:p>
        </w:tc>
        <w:tc>
          <w:tcPr>
            <w:tcW w:type="dxa" w:w="50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e-File (SFT); Accusation → Notice of Defense in 15 days; proof of service; redact personal info</w:t>
            </w:r>
          </w:p>
        </w:tc>
      </w:tr>
      <w:tr>
        <w:tc>
          <w:tcPr>
            <w:tcW w:type="dxa" w:w="18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WCAB</w:t>
            </w:r>
          </w:p>
        </w:tc>
        <w:tc>
          <w:tcPr>
            <w:tcW w:type="dxa" w:w="25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8 CCR §10300+</w:t>
            </w:r>
          </w:p>
        </w:tc>
        <w:tc>
          <w:tcPr>
            <w:tcW w:type="dxa" w:w="50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8½×11, two holes top-center; double-spaced; heading shows worker name + ADJ #; verified; file in EAMS w/ cover + separator sheets</w:t>
            </w:r>
          </w:p>
        </w:tc>
      </w:tr>
      <w:tr>
        <w:tc>
          <w:tcPr>
            <w:tcW w:type="dxa" w:w="18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CRD (ex-DFEH)</w:t>
            </w:r>
          </w:p>
        </w:tc>
        <w:tc>
          <w:tcPr>
            <w:tcW w:type="dxa" w:w="256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Gov. Code §12900+ (FEHA)</w:t>
            </w:r>
          </w:p>
        </w:tc>
        <w:tc>
          <w:tcPr>
            <w:tcW w:type="dxa" w:w="5000"/>
            <w:shd w:fill="FFFFFF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Online portal intake; right-to-sue letter is gateway to Superior Court</w:t>
            </w:r>
          </w:p>
        </w:tc>
      </w:tr>
      <w:tr>
        <w:tc>
          <w:tcPr>
            <w:tcW w:type="dxa" w:w="18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Labor Comm’r (DLSE)</w:t>
            </w:r>
          </w:p>
        </w:tc>
        <w:tc>
          <w:tcPr>
            <w:tcW w:type="dxa" w:w="256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Lab. Code §98+</w:t>
            </w:r>
          </w:p>
        </w:tc>
        <w:tc>
          <w:tcPr>
            <w:tcW w:type="dxa" w:w="5000"/>
            <w:shd w:fill="F2F2F2" w:val="clear"/>
            <w:tcMar>
              <w:top w:type="dxa" w:w="50"/>
              <w:left w:type="dxa" w:w="100"/>
              <w:bottom w:type="dxa" w:w="5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DLSE Form 1 wage claim; Berman hearing; strict appeal-to-Superior-Court (de novo) deadline</w:t>
            </w:r>
          </w:p>
        </w:tc>
      </w:tr>
    </w:tbl>
    <w:p>
      <w:pPr>
        <w:spacing w:after="140"/>
      </w:pPr>
    </w:p>
    <w:tbl>
      <w:tblPr>
        <w:tblW w:type="dxa" w:w="9360"/>
        <w:tblBorders>
          <w:top w:val="single" w:color="C55A11" w:sz="6"/>
          <w:left w:val="single" w:color="C55A11" w:sz="6"/>
          <w:bottom w:val="single" w:color="C55A11" w:sz="6"/>
          <w:right w:val="single" w:color="C55A11" w:sz="6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BE4D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b/>
                <w:bCs/>
                <w:color w:val="1F3864"/>
                <w:sz w:val="19"/>
                <w:szCs w:val="19"/>
              </w:rPr>
              <w:t xml:space="preserve">Administrative filing checklist</w:t>
            </w:r>
          </w:p>
          <w:p>
            <w:pPr>
              <w:spacing w:after="30" w:line="244"/>
            </w:pPr>
            <w:r>
              <w:rPr>
                <w:sz w:val="18"/>
                <w:szCs w:val="18"/>
              </w:rPr>
              <w:t xml:space="preserve">1. Find the controlling statute + the agency’s CCR rules.  2. Use the mandatory intake form.  3. Verify if required.  4. Attach proof of service.  5. Redact confidential personal info.  6. Calendar the short answer / appeal / reconsideration deadlines.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808080" w:sz="6"/>
          <w:left w:val="single" w:color="808080" w:sz="6"/>
          <w:bottom w:val="single" w:color="808080" w:sz="6"/>
          <w:right w:val="single" w:color="808080" w:sz="6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50"/>
            </w:pPr>
            <w:r>
              <w:rPr>
                <w:b/>
                <w:bCs/>
                <w:color w:val="1F3864"/>
                <w:sz w:val="19"/>
                <w:szCs w:val="19"/>
              </w:rPr>
              <w:t xml:space="preserve">Always verify</w:t>
            </w:r>
          </w:p>
          <w:p>
            <w:pPr>
              <w:spacing w:after="30" w:line="244"/>
            </w:pPr>
            <w:r>
              <w:rPr>
                <w:sz w:val="18"/>
                <w:szCs w:val="18"/>
              </w:rPr>
              <w:t xml:space="preserve">Figures here reflect the 2024–2026 rule cycle and change periodically. Confirm against courts.ca.gov, the district court’s site, ca9.uscourts.gov, and the agency’s regulations before filing.</w:t>
            </w:r>
          </w:p>
        </w:tc>
      </w:tr>
    </w:tbl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5"/>
        <w:szCs w:val="15"/>
      </w:rPr>
      <w:t xml:space="preserve">Claude Law — CA Legal Writing Cheat Sheets  ·  </w:t>
    </w:r>
    <w:r>
      <w:rPr>
        <w:color w:val="808080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Legal Writing — Quick-Reference Cheat Sheets</dc:title>
  <dc:creator>Claude Law</dc:creator>
  <cp:lastModifiedBy>Un-named</cp:lastModifiedBy>
  <cp:revision>1</cp:revision>
  <dcterms:created xsi:type="dcterms:W3CDTF">2026-06-26T08:29:54.019Z</dcterms:created>
  <dcterms:modified xsi:type="dcterms:W3CDTF">2026-06-26T08:29:54.020Z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