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600"/>
        <w:jc w:val="center"/>
      </w:pPr>
      <w:r>
        <w:rPr>
          <w:b/>
          <w:bCs/>
          <w:color w:val="1F3864"/>
          <w:sz w:val="56"/>
          <w:szCs w:val="56"/>
        </w:rPr>
        <w:t xml:space="preserve">CALIFORNIA LEGAL WRITING</w:t>
      </w:r>
    </w:p>
    <w:p>
      <w:pPr>
        <w:spacing w:after="120"/>
        <w:jc w:val="center"/>
      </w:pPr>
      <w:r>
        <w:rPr>
          <w:b/>
          <w:bCs/>
          <w:color w:val="1F3864"/>
          <w:sz w:val="56"/>
          <w:szCs w:val="56"/>
        </w:rPr>
        <w:t xml:space="preserve">&amp; COURT FORMATTING</w:t>
      </w:r>
    </w:p>
    <w:p>
      <w:pPr>
        <w:spacing w:after="400"/>
        <w:jc w:val="center"/>
      </w:pPr>
      <w:r>
        <w:rPr>
          <w:i/>
          <w:iCs/>
          <w:color w:val="2E5496"/>
          <w:sz w:val="36"/>
          <w:szCs w:val="36"/>
        </w:rPr>
        <w:t xml:space="preserve">Master Reference Guide</w:t>
      </w:r>
    </w:p>
    <w:p>
      <w:pPr>
        <w:spacing w:after="80"/>
        <w:jc w:val="center"/>
      </w:pPr>
      <w:r>
        <w:rPr>
          <w:color w:val="595959"/>
          <w:sz w:val="22"/>
          <w:szCs w:val="22"/>
        </w:rPr>
        <w:t xml:space="preserve">Trial Courts · Courts of Appeal &amp; Supreme Court · Federal Courts · Administrative Bodies</w:t>
      </w:r>
    </w:p>
    <w:p>
      <w:pPr>
        <w:spacing w:after="0" w:before="2400"/>
        <w:jc w:val="center"/>
      </w:pPr>
      <w:r>
        <w:rPr>
          <w:b/>
          <w:bCs/>
          <w:color w:val="1F3864"/>
          <w:sz w:val="22"/>
          <w:szCs w:val="22"/>
        </w:rPr>
        <w:t xml:space="preserve">CLAUDE LAW — Law School Program</w:t>
      </w:r>
    </w:p>
    <w:p>
      <w:pPr>
        <w:jc w:val="center"/>
      </w:pPr>
      <w:r>
        <w:rPr>
          <w:color w:val="808080"/>
          <w:sz w:val="18"/>
          <w:szCs w:val="18"/>
        </w:rPr>
        <w:t xml:space="preserve">Current as of the 2024–2026 California Rules of Court and Federal Rules</w:t>
      </w:r>
    </w:p>
    <w:p>
      <w:r>
        <w:br w:type="page"/>
      </w:r>
    </w:p>
    <w:p>
      <w:pPr>
        <w:pStyle w:val="Heading1"/>
      </w:pPr>
      <w:r>
        <w:t xml:space="preserve">Contents</w:t>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Part I — How to Use This Guide</w:t>
      </w:r>
    </w:p>
    <w:p>
      <w:pPr>
        <w:spacing w:after="140" w:line="276"/>
      </w:pPr>
      <w:r>
        <w:t xml:space="preserve">This guide collects the formatting and document-organization rules a California practitioner needs to file written work in four different forums: the state trial courts (Superior Court), the state reviewing courts (Courts of Appeal and the Supreme Court), the federal courts sitting in California (the district courts and the Ninth Circuit), and California administrative bodies. Each forum has its own rule set, and a document that is perfectly formatted for one will often be rejected by another. The single most common reason filings are bounced is a formatting defect, not a substantive one.</w:t>
      </w:r>
    </w:p>
    <w:p>
      <w:pPr>
        <w:spacing w:after="140" w:line="276"/>
      </w:pPr>
      <w:r>
        <w:t xml:space="preserve">Read Part II first even if your immediate work is elsewhere. The Superior Court rules in the California Rules of Court (“CRC”) are the foundation of California legal-document style, and the other forums are best understood as variations on that baseline.</w:t>
      </w:r>
    </w:p>
    <w:p>
      <w:pPr>
        <w:pStyle w:val="Heading2"/>
      </w:pPr>
      <w:r>
        <w:t xml:space="preserve">The hierarchy of authority that controls format</w:t>
      </w:r>
    </w:p>
    <w:p>
      <w:pPr>
        <w:spacing w:after="140" w:line="276"/>
      </w:pPr>
      <w:r>
        <w:t xml:space="preserve">When two rules seem to conflict, apply them in this order of priority. A specific local rule or a standing order from your assigned judge always governs over a general statewide rule:</w:t>
      </w:r>
    </w:p>
    <w:p>
      <w:pPr>
        <w:pStyle w:val="ListParagraph"/>
        <w:numPr>
          <w:ilvl w:val="0"/>
          <w:numId w:val="2"/>
        </w:numPr>
        <w:spacing w:after="60" w:line="270"/>
      </w:pPr>
      <w:r>
        <w:t xml:space="preserve">Statutes (the Code of Civil Procedure for state practice; Title 28 U.S.C. and the Federal Rules for federal practice).</w:t>
      </w:r>
    </w:p>
    <w:p>
      <w:pPr>
        <w:pStyle w:val="ListParagraph"/>
        <w:numPr>
          <w:ilvl w:val="0"/>
          <w:numId w:val="2"/>
        </w:numPr>
        <w:spacing w:after="60" w:line="270"/>
      </w:pPr>
      <w:r>
        <w:t xml:space="preserve">Statewide rules of court (California Rules of Court; Federal Rules of Civil/Appellate Procedure).</w:t>
      </w:r>
    </w:p>
    <w:p>
      <w:pPr>
        <w:pStyle w:val="ListParagraph"/>
        <w:numPr>
          <w:ilvl w:val="0"/>
          <w:numId w:val="2"/>
        </w:numPr>
        <w:spacing w:after="60" w:line="270"/>
      </w:pPr>
      <w:r>
        <w:t xml:space="preserve">Local rules of the specific court (e.g., L.A. Superior Court Local Rules; N.D. Cal. Civil Local Rules).</w:t>
      </w:r>
    </w:p>
    <w:p>
      <w:pPr>
        <w:pStyle w:val="ListParagraph"/>
        <w:numPr>
          <w:ilvl w:val="0"/>
          <w:numId w:val="2"/>
        </w:numPr>
        <w:spacing w:after="60" w:line="270"/>
      </w:pPr>
      <w:r>
        <w:t xml:space="preserve">The individual judge’s standing or department order, and the clerk’s filing requirements (e-filing portal specs).</w:t>
      </w:r>
    </w:p>
    <w:tbl>
      <w:tblPr>
        <w:tblW w:type="dxa" w:w="9360"/>
        <w:tblBorders>
          <w:top w:val="single" w:color="2E5496" w:sz="6"/>
          <w:left w:val="single" w:color="2E5496" w:sz="6"/>
          <w:bottom w:val="single" w:color="2E5496" w:sz="6"/>
          <w:right w:val="single" w:color="2E5496" w:sz="6"/>
          <w:insideH w:val="single" w:color="auto" w:sz="4"/>
          <w:insideV w:val="single" w:color="auto" w:sz="4"/>
        </w:tblBorders>
      </w:tblPr>
      <w:tblGrid>
        <w:gridCol w:w="9360"/>
      </w:tblGrid>
      <w:tr>
        <w:tc>
          <w:tcPr>
            <w:tcW w:type="dxa" w:w="9360"/>
            <w:shd w:fill="D9E2F3" w:val="clear"/>
            <w:tcMar>
              <w:top w:type="dxa" w:w="120"/>
              <w:left w:type="dxa" w:w="160"/>
              <w:bottom w:type="dxa" w:w="120"/>
              <w:right w:type="dxa" w:w="160"/>
            </w:tcMar>
          </w:tcPr>
          <w:p>
            <w:pPr>
              <w:spacing w:after="60"/>
            </w:pPr>
            <w:r>
              <w:rPr>
                <w:b/>
                <w:bCs/>
                <w:color w:val="1F3864"/>
              </w:rPr>
              <w:t xml:space="preserve">Golden rule before every filing</w:t>
            </w:r>
          </w:p>
          <w:p>
            <w:pPr>
              <w:spacing w:after="40" w:line="264"/>
            </w:pPr>
            <w:r>
              <w:t xml:space="preserve">Always pull the current statewide rule, the local rules of the specific court, and the assigned judge’s standing order. Confirm whether e-filing is mandatory and check the court’s e-filing technical specs (PDF, bookmarks, file-size, and text-searchable requirements). Rules change every January 1 (and sometimes mid-year) — verify against the official source before you rely on any figure in this guide.</w:t>
            </w:r>
          </w:p>
        </w:tc>
      </w:tr>
    </w:tbl>
    <w:p>
      <w:r>
        <w:br w:type="page"/>
      </w:r>
    </w:p>
    <w:p>
      <w:pPr>
        <w:pStyle w:val="Heading1"/>
      </w:pPr>
      <w:r>
        <w:t xml:space="preserve">Part II — California Superior Court (Trial Courts)</w:t>
      </w:r>
    </w:p>
    <w:p>
      <w:pPr>
        <w:spacing w:after="140" w:line="276"/>
      </w:pPr>
      <w:r>
        <w:t xml:space="preserve">Civil documents filed in the Superior Court must conform to the form-of-papers rules in CRC Title 2, Division 2 (rules 2.100–2.119). These rules produce the familiar “pleading paper”: a line-numbered page with the caption on page one.</w:t>
      </w:r>
    </w:p>
    <w:p>
      <w:pPr>
        <w:pStyle w:val="Heading2"/>
      </w:pPr>
      <w:r>
        <w:t xml:space="preserve">Pleading paper — the core formatting rules</w:t>
      </w:r>
    </w:p>
    <w:p>
      <w:pPr>
        <w:spacing w:after="140" w:line="276"/>
      </w:pPr>
      <w:r>
        <w:t xml:space="preserve">The table below distills the controlling CRC provisions. Cite the rule number, not this guide, in any work product.</w:t>
      </w:r>
    </w:p>
    <w:p>
      <w:pPr>
        <w:spacing w:after="60"/>
      </w:pPr>
    </w:p>
    <w:tbl>
      <w:tblPr>
        <w:tblW w:type="dxa" w:w="9360"/>
        <w:tblBorders>
          <w:top w:val="single" w:color="B4C6E7" w:sz="1"/>
          <w:left w:val="single" w:color="B4C6E7" w:sz="1"/>
          <w:bottom w:val="single" w:color="B4C6E7" w:sz="1"/>
          <w:right w:val="single" w:color="B4C6E7" w:sz="1"/>
          <w:insideH w:val="single" w:color="B4C6E7" w:sz="1"/>
          <w:insideV w:val="single" w:color="B4C6E7" w:sz="1"/>
        </w:tblBorders>
      </w:tblPr>
      <w:tblGrid>
        <w:gridCol w:w="1500"/>
        <w:gridCol w:w="7860"/>
      </w:tblGrid>
      <w:tr>
        <w:trPr>
          <w:tblHeader/>
        </w:trPr>
        <w:tc>
          <w:tcPr>
            <w:tcW w:type="dxa" w:w="1500"/>
            <w:shd w:fill="2E5496" w:val="clear"/>
            <w:tcMar>
              <w:top w:type="dxa" w:w="70"/>
              <w:left w:type="dxa" w:w="110"/>
              <w:bottom w:type="dxa" w:w="70"/>
              <w:right w:type="dxa" w:w="110"/>
            </w:tcMar>
            <w:vAlign w:val="center"/>
          </w:tcPr>
          <w:p>
            <w:pPr>
              <w:spacing w:after="0" w:line="252"/>
            </w:pPr>
            <w:r>
              <w:rPr>
                <w:b/>
                <w:bCs/>
                <w:color w:val="FFFFFF"/>
              </w:rPr>
              <w:t xml:space="preserve">Rule</w:t>
            </w:r>
          </w:p>
        </w:tc>
        <w:tc>
          <w:tcPr>
            <w:tcW w:type="dxa" w:w="7860"/>
            <w:shd w:fill="2E5496" w:val="clear"/>
            <w:tcMar>
              <w:top w:type="dxa" w:w="70"/>
              <w:left w:type="dxa" w:w="110"/>
              <w:bottom w:type="dxa" w:w="70"/>
              <w:right w:type="dxa" w:w="110"/>
            </w:tcMar>
            <w:vAlign w:val="center"/>
          </w:tcPr>
          <w:p>
            <w:pPr>
              <w:spacing w:after="0" w:line="252"/>
            </w:pPr>
            <w:r>
              <w:rPr>
                <w:b/>
                <w:bCs/>
                <w:color w:val="FFFFFF"/>
              </w:rPr>
              <w:t xml:space="preserve">Requirement</w:t>
            </w:r>
          </w:p>
        </w:tc>
      </w:tr>
      <w:tr>
        <w:tc>
          <w:tcPr>
            <w:tcW w:type="dxa" w:w="1500"/>
            <w:shd w:fill="FFFFFF" w:val="clear"/>
            <w:tcMar>
              <w:top w:type="dxa" w:w="70"/>
              <w:left w:type="dxa" w:w="110"/>
              <w:bottom w:type="dxa" w:w="70"/>
              <w:right w:type="dxa" w:w="110"/>
            </w:tcMar>
            <w:vAlign w:val="center"/>
          </w:tcPr>
          <w:p>
            <w:pPr>
              <w:spacing w:after="0" w:line="252"/>
            </w:pPr>
            <w:r>
              <w:rPr>
                <w:b w:val="false"/>
                <w:bCs w:val="false"/>
                <w:color w:val="000000"/>
              </w:rPr>
              <w:t xml:space="preserve">CRC 2.100–2.103</w:t>
            </w:r>
          </w:p>
        </w:tc>
        <w:tc>
          <w:tcPr>
            <w:tcW w:type="dxa" w:w="7860"/>
            <w:shd w:fill="FFFFFF" w:val="clear"/>
            <w:tcMar>
              <w:top w:type="dxa" w:w="70"/>
              <w:left w:type="dxa" w:w="110"/>
              <w:bottom w:type="dxa" w:w="70"/>
              <w:right w:type="dxa" w:w="110"/>
            </w:tcMar>
            <w:vAlign w:val="center"/>
          </w:tcPr>
          <w:p>
            <w:pPr>
              <w:spacing w:after="0" w:line="252"/>
            </w:pPr>
            <w:r>
              <w:rPr>
                <w:b w:val="false"/>
                <w:bCs w:val="false"/>
                <w:color w:val="000000"/>
              </w:rPr>
              <w:t xml:space="preserve">Scope. Applies to papers filed in all trial courts. “Papers” includes pleadings and most filed documents.</w:t>
            </w:r>
          </w:p>
        </w:tc>
      </w:tr>
      <w:tr>
        <w:tc>
          <w:tcPr>
            <w:tcW w:type="dxa" w:w="1500"/>
            <w:shd w:fill="F2F2F2" w:val="clear"/>
            <w:tcMar>
              <w:top w:type="dxa" w:w="70"/>
              <w:left w:type="dxa" w:w="110"/>
              <w:bottom w:type="dxa" w:w="70"/>
              <w:right w:type="dxa" w:w="110"/>
            </w:tcMar>
            <w:vAlign w:val="center"/>
          </w:tcPr>
          <w:p>
            <w:pPr>
              <w:spacing w:after="0" w:line="252"/>
            </w:pPr>
            <w:r>
              <w:rPr>
                <w:b w:val="false"/>
                <w:bCs w:val="false"/>
                <w:color w:val="000000"/>
              </w:rPr>
              <w:t xml:space="preserve">CRC 2.104</w:t>
            </w:r>
          </w:p>
        </w:tc>
        <w:tc>
          <w:tcPr>
            <w:tcW w:type="dxa" w:w="7860"/>
            <w:shd w:fill="F2F2F2" w:val="clear"/>
            <w:tcMar>
              <w:top w:type="dxa" w:w="70"/>
              <w:left w:type="dxa" w:w="110"/>
              <w:bottom w:type="dxa" w:w="70"/>
              <w:right w:type="dxa" w:w="110"/>
            </w:tcMar>
            <w:vAlign w:val="center"/>
          </w:tcPr>
          <w:p>
            <w:pPr>
              <w:spacing w:after="0" w:line="252"/>
            </w:pPr>
            <w:r>
              <w:rPr>
                <w:b w:val="false"/>
                <w:bCs w:val="false"/>
                <w:color w:val="000000"/>
              </w:rPr>
              <w:t xml:space="preserve">Font size. Text must be in a font no smaller than 12 points.</w:t>
            </w:r>
          </w:p>
        </w:tc>
      </w:tr>
      <w:tr>
        <w:tc>
          <w:tcPr>
            <w:tcW w:type="dxa" w:w="1500"/>
            <w:shd w:fill="FFFFFF" w:val="clear"/>
            <w:tcMar>
              <w:top w:type="dxa" w:w="70"/>
              <w:left w:type="dxa" w:w="110"/>
              <w:bottom w:type="dxa" w:w="70"/>
              <w:right w:type="dxa" w:w="110"/>
            </w:tcMar>
            <w:vAlign w:val="center"/>
          </w:tcPr>
          <w:p>
            <w:pPr>
              <w:spacing w:after="0" w:line="252"/>
            </w:pPr>
            <w:r>
              <w:rPr>
                <w:b w:val="false"/>
                <w:bCs w:val="false"/>
                <w:color w:val="000000"/>
              </w:rPr>
              <w:t xml:space="preserve">CRC 2.105</w:t>
            </w:r>
          </w:p>
        </w:tc>
        <w:tc>
          <w:tcPr>
            <w:tcW w:type="dxa" w:w="7860"/>
            <w:shd w:fill="FFFFFF" w:val="clear"/>
            <w:tcMar>
              <w:top w:type="dxa" w:w="70"/>
              <w:left w:type="dxa" w:w="110"/>
              <w:bottom w:type="dxa" w:w="70"/>
              <w:right w:type="dxa" w:w="110"/>
            </w:tcMar>
            <w:vAlign w:val="center"/>
          </w:tcPr>
          <w:p>
            <w:pPr>
              <w:spacing w:after="0" w:line="252"/>
            </w:pPr>
            <w:r>
              <w:rPr>
                <w:b w:val="false"/>
                <w:bCs w:val="false"/>
                <w:color w:val="000000"/>
              </w:rPr>
              <w:t xml:space="preserve">Font style. The typeface must be essentially equivalent to Courier, Times New Roman, or Arial.</w:t>
            </w:r>
          </w:p>
        </w:tc>
      </w:tr>
      <w:tr>
        <w:tc>
          <w:tcPr>
            <w:tcW w:type="dxa" w:w="1500"/>
            <w:shd w:fill="F2F2F2" w:val="clear"/>
            <w:tcMar>
              <w:top w:type="dxa" w:w="70"/>
              <w:left w:type="dxa" w:w="110"/>
              <w:bottom w:type="dxa" w:w="70"/>
              <w:right w:type="dxa" w:w="110"/>
            </w:tcMar>
            <w:vAlign w:val="center"/>
          </w:tcPr>
          <w:p>
            <w:pPr>
              <w:spacing w:after="0" w:line="252"/>
            </w:pPr>
            <w:r>
              <w:rPr>
                <w:b w:val="false"/>
                <w:bCs w:val="false"/>
                <w:color w:val="000000"/>
              </w:rPr>
              <w:t xml:space="preserve">CRC 2.106</w:t>
            </w:r>
          </w:p>
        </w:tc>
        <w:tc>
          <w:tcPr>
            <w:tcW w:type="dxa" w:w="7860"/>
            <w:shd w:fill="F2F2F2" w:val="clear"/>
            <w:tcMar>
              <w:top w:type="dxa" w:w="70"/>
              <w:left w:type="dxa" w:w="110"/>
              <w:bottom w:type="dxa" w:w="70"/>
              <w:right w:type="dxa" w:w="110"/>
            </w:tcMar>
            <w:vAlign w:val="center"/>
          </w:tcPr>
          <w:p>
            <w:pPr>
              <w:spacing w:after="0" w:line="252"/>
            </w:pPr>
            <w:r>
              <w:rPr>
                <w:b w:val="false"/>
                <w:bCs w:val="false"/>
                <w:color w:val="000000"/>
              </w:rPr>
              <w:t xml:space="preserve">Paper. White or unbleached, 8½ × 11 inches, opaque, unglazed; one side only (for paper filings).</w:t>
            </w:r>
          </w:p>
        </w:tc>
      </w:tr>
      <w:tr>
        <w:tc>
          <w:tcPr>
            <w:tcW w:type="dxa" w:w="1500"/>
            <w:shd w:fill="FFFFFF" w:val="clear"/>
            <w:tcMar>
              <w:top w:type="dxa" w:w="70"/>
              <w:left w:type="dxa" w:w="110"/>
              <w:bottom w:type="dxa" w:w="70"/>
              <w:right w:type="dxa" w:w="110"/>
            </w:tcMar>
            <w:vAlign w:val="center"/>
          </w:tcPr>
          <w:p>
            <w:pPr>
              <w:spacing w:after="0" w:line="252"/>
            </w:pPr>
            <w:r>
              <w:rPr>
                <w:b w:val="false"/>
                <w:bCs w:val="false"/>
                <w:color w:val="000000"/>
              </w:rPr>
              <w:t xml:space="preserve">CRC 2.107</w:t>
            </w:r>
          </w:p>
        </w:tc>
        <w:tc>
          <w:tcPr>
            <w:tcW w:type="dxa" w:w="7860"/>
            <w:shd w:fill="FFFFFF" w:val="clear"/>
            <w:tcMar>
              <w:top w:type="dxa" w:w="70"/>
              <w:left w:type="dxa" w:w="110"/>
              <w:bottom w:type="dxa" w:w="70"/>
              <w:right w:type="dxa" w:w="110"/>
            </w:tcMar>
            <w:vAlign w:val="center"/>
          </w:tcPr>
          <w:p>
            <w:pPr>
              <w:spacing w:after="0" w:line="252"/>
            </w:pPr>
            <w:r>
              <w:rPr>
                <w:b w:val="false"/>
                <w:bCs w:val="false"/>
                <w:color w:val="000000"/>
              </w:rPr>
              <w:t xml:space="preserve">Margins. Left margin at least 1 inch; right margin at least ½ inch; the space within the margins must hold the text.</w:t>
            </w:r>
          </w:p>
        </w:tc>
      </w:tr>
      <w:tr>
        <w:tc>
          <w:tcPr>
            <w:tcW w:type="dxa" w:w="1500"/>
            <w:shd w:fill="F2F2F2" w:val="clear"/>
            <w:tcMar>
              <w:top w:type="dxa" w:w="70"/>
              <w:left w:type="dxa" w:w="110"/>
              <w:bottom w:type="dxa" w:w="70"/>
              <w:right w:type="dxa" w:w="110"/>
            </w:tcMar>
            <w:vAlign w:val="center"/>
          </w:tcPr>
          <w:p>
            <w:pPr>
              <w:spacing w:after="0" w:line="252"/>
            </w:pPr>
            <w:r>
              <w:rPr>
                <w:b w:val="false"/>
                <w:bCs w:val="false"/>
                <w:color w:val="000000"/>
              </w:rPr>
              <w:t xml:space="preserve">CRC 2.108</w:t>
            </w:r>
          </w:p>
        </w:tc>
        <w:tc>
          <w:tcPr>
            <w:tcW w:type="dxa" w:w="7860"/>
            <w:shd w:fill="F2F2F2" w:val="clear"/>
            <w:tcMar>
              <w:top w:type="dxa" w:w="70"/>
              <w:left w:type="dxa" w:w="110"/>
              <w:bottom w:type="dxa" w:w="70"/>
              <w:right w:type="dxa" w:w="110"/>
            </w:tcMar>
            <w:vAlign w:val="center"/>
          </w:tcPr>
          <w:p>
            <w:pPr>
              <w:spacing w:after="0" w:line="252"/>
            </w:pPr>
            <w:r>
              <w:rPr>
                <w:b w:val="false"/>
                <w:bCs w:val="false"/>
                <w:color w:val="000000"/>
              </w:rPr>
              <w:t xml:space="preserve">Line spacing &amp; numbering. Lines must be 1½- or double-spaced and consecutively numbered, restarting at 1 on each page; at least 3 line numbers per vertical inch, placed at the left margin. Footnotes and quotations may be single-spaced.</w:t>
            </w:r>
          </w:p>
        </w:tc>
      </w:tr>
      <w:tr>
        <w:tc>
          <w:tcPr>
            <w:tcW w:type="dxa" w:w="1500"/>
            <w:shd w:fill="FFFFFF" w:val="clear"/>
            <w:tcMar>
              <w:top w:type="dxa" w:w="70"/>
              <w:left w:type="dxa" w:w="110"/>
              <w:bottom w:type="dxa" w:w="70"/>
              <w:right w:type="dxa" w:w="110"/>
            </w:tcMar>
            <w:vAlign w:val="center"/>
          </w:tcPr>
          <w:p>
            <w:pPr>
              <w:spacing w:after="0" w:line="252"/>
            </w:pPr>
            <w:r>
              <w:rPr>
                <w:b w:val="false"/>
                <w:bCs w:val="false"/>
                <w:color w:val="000000"/>
              </w:rPr>
              <w:t xml:space="preserve">CRC 2.109</w:t>
            </w:r>
          </w:p>
        </w:tc>
        <w:tc>
          <w:tcPr>
            <w:tcW w:type="dxa" w:w="7860"/>
            <w:shd w:fill="FFFFFF" w:val="clear"/>
            <w:tcMar>
              <w:top w:type="dxa" w:w="70"/>
              <w:left w:type="dxa" w:w="110"/>
              <w:bottom w:type="dxa" w:w="70"/>
              <w:right w:type="dxa" w:w="110"/>
            </w:tcMar>
            <w:vAlign w:val="center"/>
          </w:tcPr>
          <w:p>
            <w:pPr>
              <w:spacing w:after="0" w:line="252"/>
            </w:pPr>
            <w:r>
              <w:rPr>
                <w:b w:val="false"/>
                <w:bCs w:val="false"/>
                <w:color w:val="000000"/>
              </w:rPr>
              <w:t xml:space="preserve">Page numbering. Pages numbered consecutively, beginning with the first page, with the number at the bottom.</w:t>
            </w:r>
          </w:p>
        </w:tc>
      </w:tr>
      <w:tr>
        <w:tc>
          <w:tcPr>
            <w:tcW w:type="dxa" w:w="1500"/>
            <w:shd w:fill="F2F2F2" w:val="clear"/>
            <w:tcMar>
              <w:top w:type="dxa" w:w="70"/>
              <w:left w:type="dxa" w:w="110"/>
              <w:bottom w:type="dxa" w:w="70"/>
              <w:right w:type="dxa" w:w="110"/>
            </w:tcMar>
            <w:vAlign w:val="center"/>
          </w:tcPr>
          <w:p>
            <w:pPr>
              <w:spacing w:after="0" w:line="252"/>
            </w:pPr>
            <w:r>
              <w:rPr>
                <w:b w:val="false"/>
                <w:bCs w:val="false"/>
                <w:color w:val="000000"/>
              </w:rPr>
              <w:t xml:space="preserve">CRC 2.110</w:t>
            </w:r>
          </w:p>
        </w:tc>
        <w:tc>
          <w:tcPr>
            <w:tcW w:type="dxa" w:w="7860"/>
            <w:shd w:fill="F2F2F2" w:val="clear"/>
            <w:tcMar>
              <w:top w:type="dxa" w:w="70"/>
              <w:left w:type="dxa" w:w="110"/>
              <w:bottom w:type="dxa" w:w="70"/>
              <w:right w:type="dxa" w:w="110"/>
            </w:tcMar>
            <w:vAlign w:val="center"/>
          </w:tcPr>
          <w:p>
            <w:pPr>
              <w:spacing w:after="0" w:line="252"/>
            </w:pPr>
            <w:r>
              <w:rPr>
                <w:b w:val="false"/>
                <w:bCs w:val="false"/>
                <w:color w:val="000000"/>
              </w:rPr>
              <w:t xml:space="preserve">Footer. Below the page number / on each page after the first, a footer in the bottom margin showing the title of the paper or a clear abbreviation.</w:t>
            </w:r>
          </w:p>
        </w:tc>
      </w:tr>
      <w:tr>
        <w:tc>
          <w:tcPr>
            <w:tcW w:type="dxa" w:w="1500"/>
            <w:shd w:fill="FFFFFF" w:val="clear"/>
            <w:tcMar>
              <w:top w:type="dxa" w:w="70"/>
              <w:left w:type="dxa" w:w="110"/>
              <w:bottom w:type="dxa" w:w="70"/>
              <w:right w:type="dxa" w:w="110"/>
            </w:tcMar>
            <w:vAlign w:val="center"/>
          </w:tcPr>
          <w:p>
            <w:pPr>
              <w:spacing w:after="0" w:line="252"/>
            </w:pPr>
            <w:r>
              <w:rPr>
                <w:b w:val="false"/>
                <w:bCs w:val="false"/>
                <w:color w:val="000000"/>
              </w:rPr>
              <w:t xml:space="preserve">CRC 2.111</w:t>
            </w:r>
          </w:p>
        </w:tc>
        <w:tc>
          <w:tcPr>
            <w:tcW w:type="dxa" w:w="7860"/>
            <w:shd w:fill="FFFFFF" w:val="clear"/>
            <w:tcMar>
              <w:top w:type="dxa" w:w="70"/>
              <w:left w:type="dxa" w:w="110"/>
              <w:bottom w:type="dxa" w:w="70"/>
              <w:right w:type="dxa" w:w="110"/>
            </w:tcMar>
            <w:vAlign w:val="center"/>
          </w:tcPr>
          <w:p>
            <w:pPr>
              <w:spacing w:after="0" w:line="252"/>
            </w:pPr>
            <w:r>
              <w:rPr>
                <w:b w:val="false"/>
                <w:bCs w:val="false"/>
                <w:color w:val="000000"/>
              </w:rPr>
              <w:t xml:space="preserve">Format of the first page (see caption anatomy below).</w:t>
            </w:r>
          </w:p>
        </w:tc>
      </w:tr>
      <w:tr>
        <w:tc>
          <w:tcPr>
            <w:tcW w:type="dxa" w:w="1500"/>
            <w:shd w:fill="F2F2F2" w:val="clear"/>
            <w:tcMar>
              <w:top w:type="dxa" w:w="70"/>
              <w:left w:type="dxa" w:w="110"/>
              <w:bottom w:type="dxa" w:w="70"/>
              <w:right w:type="dxa" w:w="110"/>
            </w:tcMar>
            <w:vAlign w:val="center"/>
          </w:tcPr>
          <w:p>
            <w:pPr>
              <w:spacing w:after="0" w:line="252"/>
            </w:pPr>
            <w:r>
              <w:rPr>
                <w:b w:val="false"/>
                <w:bCs w:val="false"/>
                <w:color w:val="000000"/>
              </w:rPr>
              <w:t xml:space="preserve">CRC 2.112</w:t>
            </w:r>
          </w:p>
        </w:tc>
        <w:tc>
          <w:tcPr>
            <w:tcW w:type="dxa" w:w="7860"/>
            <w:shd w:fill="F2F2F2" w:val="clear"/>
            <w:tcMar>
              <w:top w:type="dxa" w:w="70"/>
              <w:left w:type="dxa" w:w="110"/>
              <w:bottom w:type="dxa" w:w="70"/>
              <w:right w:type="dxa" w:w="110"/>
            </w:tcMar>
            <w:vAlign w:val="center"/>
          </w:tcPr>
          <w:p>
            <w:pPr>
              <w:spacing w:after="0" w:line="252"/>
            </w:pPr>
            <w:r>
              <w:rPr>
                <w:b w:val="false"/>
                <w:bCs w:val="false"/>
                <w:color w:val="000000"/>
              </w:rPr>
              <w:t xml:space="preserve">Each cause of action, count, or defense must be separately stated and numbered, and must specify whether it is asserted by/against all or only certain parties.</w:t>
            </w:r>
          </w:p>
        </w:tc>
      </w:tr>
      <w:tr>
        <w:tc>
          <w:tcPr>
            <w:tcW w:type="dxa" w:w="1500"/>
            <w:shd w:fill="FFFFFF" w:val="clear"/>
            <w:tcMar>
              <w:top w:type="dxa" w:w="70"/>
              <w:left w:type="dxa" w:w="110"/>
              <w:bottom w:type="dxa" w:w="70"/>
              <w:right w:type="dxa" w:w="110"/>
            </w:tcMar>
            <w:vAlign w:val="center"/>
          </w:tcPr>
          <w:p>
            <w:pPr>
              <w:spacing w:after="0" w:line="252"/>
            </w:pPr>
            <w:r>
              <w:rPr>
                <w:b w:val="false"/>
                <w:bCs w:val="false"/>
                <w:color w:val="000000"/>
              </w:rPr>
              <w:t xml:space="preserve">CRC 2.113–2.119</w:t>
            </w:r>
          </w:p>
        </w:tc>
        <w:tc>
          <w:tcPr>
            <w:tcW w:type="dxa" w:w="7860"/>
            <w:shd w:fill="FFFFFF" w:val="clear"/>
            <w:tcMar>
              <w:top w:type="dxa" w:w="70"/>
              <w:left w:type="dxa" w:w="110"/>
              <w:bottom w:type="dxa" w:w="70"/>
              <w:right w:type="dxa" w:w="110"/>
            </w:tcMar>
            <w:vAlign w:val="center"/>
          </w:tcPr>
          <w:p>
            <w:pPr>
              <w:spacing w:after="0" w:line="252"/>
            </w:pPr>
            <w:r>
              <w:rPr>
                <w:b w:val="false"/>
                <w:bCs w:val="false"/>
                <w:color w:val="000000"/>
              </w:rPr>
              <w:t xml:space="preserve">Binding/holes (two holes, top, for paper filings), additional cover-sheet and exhibit conventions.</w:t>
            </w:r>
          </w:p>
        </w:tc>
      </w:tr>
    </w:tbl>
    <w:p>
      <w:pPr>
        <w:pStyle w:val="Heading3"/>
      </w:pPr>
      <w:r>
        <w:t xml:space="preserve">Anatomy of the first page (CRC 2.111)</w:t>
      </w:r>
    </w:p>
    <w:p>
      <w:pPr>
        <w:spacing w:after="140" w:line="276"/>
      </w:pPr>
      <w:r>
        <w:t xml:space="preserve">The first page of every Superior Court document follows a fixed layout. Working from the top:</w:t>
      </w:r>
    </w:p>
    <w:p>
      <w:pPr>
        <w:pStyle w:val="ListParagraph"/>
        <w:numPr>
          <w:ilvl w:val="0"/>
          <w:numId w:val="3"/>
        </w:numPr>
        <w:spacing w:after="60" w:line="270"/>
      </w:pPr>
      <w:r>
        <w:rPr>
          <w:b/>
          <w:bCs/>
        </w:rPr>
        <w:t xml:space="preserve">Attorney / self-represented party block </w:t>
      </w:r>
      <w:r>
        <w:t xml:space="preserve">(upper left, beginning at line 1, one inch from the top): name, State Bar number, firm, office address, telephone, fax, e-mail; and the party the filer represents (“Attorney for Plaintiff”) or “In Pro Per.”</w:t>
      </w:r>
    </w:p>
    <w:p>
      <w:pPr>
        <w:pStyle w:val="ListParagraph"/>
        <w:numPr>
          <w:ilvl w:val="0"/>
          <w:numId w:val="3"/>
        </w:numPr>
        <w:spacing w:after="60" w:line="270"/>
      </w:pPr>
      <w:r>
        <w:rPr>
          <w:b/>
          <w:bCs/>
        </w:rPr>
        <w:t xml:space="preserve">Space for the clerk </w:t>
      </w:r>
      <w:r>
        <w:t xml:space="preserve">in the upper right (left blank — do not place text there).</w:t>
      </w:r>
    </w:p>
    <w:p>
      <w:pPr>
        <w:pStyle w:val="ListParagraph"/>
        <w:numPr>
          <w:ilvl w:val="0"/>
          <w:numId w:val="3"/>
        </w:numPr>
        <w:spacing w:after="60" w:line="270"/>
      </w:pPr>
      <w:r>
        <w:rPr>
          <w:b/>
          <w:bCs/>
        </w:rPr>
        <w:t xml:space="preserve">Title of the court </w:t>
      </w:r>
      <w:r>
        <w:t xml:space="preserve">centered, at or below the 3⅓-inch point (around line 8): e.g., “SUPERIOR COURT OF THE STATE OF CALIFORNIA — COUNTY OF ___.”</w:t>
      </w:r>
    </w:p>
    <w:p>
      <w:pPr>
        <w:pStyle w:val="ListParagraph"/>
        <w:numPr>
          <w:ilvl w:val="0"/>
          <w:numId w:val="3"/>
        </w:numPr>
        <w:spacing w:after="60" w:line="270"/>
      </w:pPr>
      <w:r>
        <w:rPr>
          <w:b/>
          <w:bCs/>
        </w:rPr>
        <w:t xml:space="preserve">Caption box </w:t>
      </w:r>
      <w:r>
        <w:t xml:space="preserve">below the court title: the case title on the left (each party named on a separate line in the initial complaint or cross-complaint); to the right, the case number, then the nature/character of the paper.</w:t>
      </w:r>
    </w:p>
    <w:p>
      <w:pPr>
        <w:pStyle w:val="ListParagraph"/>
        <w:numPr>
          <w:ilvl w:val="0"/>
          <w:numId w:val="3"/>
        </w:numPr>
        <w:spacing w:after="60" w:line="270"/>
      </w:pPr>
      <w:r>
        <w:rPr>
          <w:b/>
          <w:bCs/>
        </w:rPr>
        <w:t xml:space="preserve">Title of the document </w:t>
      </w:r>
      <w:r>
        <w:t xml:space="preserve">(e.g., “COMPLAINT FOR DAMAGES”) — specific and centered/under the case number, identifying every form of relief or every cause of action where practical.</w:t>
      </w:r>
    </w:p>
    <w:tbl>
      <w:tblPr>
        <w:tblW w:type="dxa" w:w="9360"/>
        <w:tblBorders>
          <w:top w:val="single" w:color="2E5496" w:sz="6"/>
          <w:left w:val="single" w:color="2E5496" w:sz="6"/>
          <w:bottom w:val="single" w:color="2E5496" w:sz="6"/>
          <w:right w:val="single" w:color="2E5496" w:sz="6"/>
          <w:insideH w:val="single" w:color="auto" w:sz="4"/>
          <w:insideV w:val="single" w:color="auto" w:sz="4"/>
        </w:tblBorders>
      </w:tblPr>
      <w:tblGrid>
        <w:gridCol w:w="9360"/>
      </w:tblGrid>
      <w:tr>
        <w:tc>
          <w:tcPr>
            <w:tcW w:type="dxa" w:w="9360"/>
            <w:shd w:fill="D9E2F3" w:val="clear"/>
            <w:tcMar>
              <w:top w:type="dxa" w:w="120"/>
              <w:left w:type="dxa" w:w="160"/>
              <w:bottom w:type="dxa" w:w="120"/>
              <w:right w:type="dxa" w:w="160"/>
            </w:tcMar>
          </w:tcPr>
          <w:p>
            <w:pPr>
              <w:spacing w:after="60"/>
            </w:pPr>
            <w:r>
              <w:rPr>
                <w:b/>
                <w:bCs/>
                <w:color w:val="1F3864"/>
              </w:rPr>
              <w:t xml:space="preserve">Short-title shortcut</w:t>
            </w:r>
          </w:p>
          <w:p>
            <w:pPr>
              <w:spacing w:after="40" w:line="264"/>
            </w:pPr>
            <w:r>
              <w:t xml:space="preserve">Only the initial complaint or cross-complaint must list every party on its own line. On every later paper you may use a short title — the first party on each side, with an indication that others exist (e.g., “Smith, et al. v. Acme Corp., et al.”) — and note any cross-action.</w:t>
            </w:r>
          </w:p>
        </w:tc>
      </w:tr>
    </w:tbl>
    <w:p>
      <w:pPr>
        <w:pStyle w:val="Heading2"/>
      </w:pPr>
      <w:r>
        <w:t xml:space="preserve">Document organization — how the major filings are built</w:t>
      </w:r>
    </w:p>
    <w:p>
      <w:pPr>
        <w:spacing w:after="140" w:line="276"/>
      </w:pPr>
      <w:r>
        <w:t xml:space="preserve">Formatting gets a paper accepted; organization makes it persuasive. The conventional skeletons:</w:t>
      </w:r>
    </w:p>
    <w:p>
      <w:pPr>
        <w:pStyle w:val="Heading3"/>
      </w:pPr>
      <w:r>
        <w:t xml:space="preserve">Complaint</w:t>
      </w:r>
    </w:p>
    <w:p>
      <w:pPr>
        <w:spacing w:after="140" w:line="276"/>
      </w:pPr>
      <w:r>
        <w:rPr>
          <w:b/>
          <w:bCs/>
        </w:rPr>
        <w:t xml:space="preserve">Order: </w:t>
      </w:r>
      <w:r>
        <w:t xml:space="preserve">caption → introductory/jurisdiction-and-venue allegations → the parties → general factual allegations (numbered paragraphs) → each cause of action separately stated and numbered (CRC 2.112), incorporating prior paragraphs by reference → prayer for relief → jury demand (if any) → dated signature → verification (if verified).</w:t>
      </w:r>
    </w:p>
    <w:p>
      <w:pPr>
        <w:spacing w:after="140" w:line="276"/>
      </w:pPr>
      <w:r>
        <w:t xml:space="preserve">Number every allegation consecutively throughout the document. State ultimate facts, not evidence, and plead each element of each claim. A verified complaint requires a verification signed under penalty of perjury under California law.</w:t>
      </w:r>
    </w:p>
    <w:p>
      <w:pPr>
        <w:pStyle w:val="Heading3"/>
      </w:pPr>
      <w:r>
        <w:t xml:space="preserve">Noticed motion</w:t>
      </w:r>
    </w:p>
    <w:p>
      <w:pPr>
        <w:spacing w:after="140" w:line="276"/>
      </w:pPr>
      <w:r>
        <w:rPr>
          <w:b/>
          <w:bCs/>
        </w:rPr>
        <w:t xml:space="preserve">A motion package is usually three or four documents filed together: </w:t>
      </w:r>
      <w:r>
        <w:t xml:space="preserve">(1) the Notice of Motion and Motion stating the hearing date/time/department, the relief sought, and the grounds; (2) a Memorandum of Points and Authorities; (3) supporting Declaration(s) with exhibits; and often (4) a Proposed Order. Add a separate statement where a rule requires one (e.g., summary-judgment and discovery motions).</w:t>
      </w:r>
    </w:p>
    <w:p>
      <w:pPr>
        <w:spacing w:after="140" w:line="276"/>
      </w:pPr>
      <w:r>
        <w:rPr>
          <w:b/>
          <w:bCs/>
        </w:rPr>
        <w:t xml:space="preserve">The memorandum </w:t>
      </w:r>
      <w:r>
        <w:t xml:space="preserve">conventionally runs: Introduction → Statement of Facts → Legal Standard → Argument (point headings stated as conclusions, each applying rule to fact) → Conclusion. Under CRC 3.1113 a memorandum supporting or opposing most motions may not exceed 15 pages (a summary-judgment memo may reach 20); a table of contents and authorities is required if it exceeds 10 pages.</w:t>
      </w:r>
    </w:p>
    <w:p>
      <w:pPr>
        <w:pStyle w:val="Heading3"/>
      </w:pPr>
      <w:r>
        <w:t xml:space="preserve">Declaration</w:t>
      </w:r>
    </w:p>
    <w:p>
      <w:pPr>
        <w:spacing w:after="140" w:line="276"/>
      </w:pPr>
      <w:r>
        <w:t xml:space="preserve">A declaration states facts within the declarant’s personal knowledge, in consecutively numbered paragraphs, authenticates any attached exhibits, and closes with the penalty-of-perjury clause: “I declare under penalty of perjury under the laws of the State of California that the foregoing is true and correct,” followed by the date, place of execution, signature, and printed name (Code Civ. Proc. § 2015.5).</w:t>
      </w:r>
    </w:p>
    <w:p>
      <w:pPr>
        <w:pStyle w:val="Heading3"/>
      </w:pPr>
      <w:r>
        <w:t xml:space="preserve">Proof of service</w:t>
      </w:r>
    </w:p>
    <w:p>
      <w:pPr>
        <w:spacing w:after="140" w:line="276"/>
      </w:pPr>
      <w:r>
        <w:t xml:space="preserve">Almost everything filed must be served and accompanied by a proof of service describing the documents served, the manner of service, the date, and the persons served. Use the Judicial Council forms where they exist; otherwise a typed proof of service on pleading paper is acceptable.</w:t>
      </w:r>
    </w:p>
    <w:p>
      <w:pPr>
        <w:pStyle w:val="Heading2"/>
      </w:pPr>
      <w:r>
        <w:t xml:space="preserve">Judicial Council forms and e-filing</w:t>
      </w:r>
    </w:p>
    <w:p>
      <w:pPr>
        <w:spacing w:after="140" w:line="276"/>
      </w:pPr>
      <w:r>
        <w:t xml:space="preserve">Many filings use mandatory or optional Judicial Council forms (the SUM-100 summons, CM-010 Civil Case Cover Sheet, FW-001 fee-waiver application, POS-010/POS-040 proofs of service, and many others). Where a mandatory form exists, use it. Most large counties now require electronic filing for represented parties; e-filed documents must generally be a flattened, text-searchable PDF, often bookmarked, within the portal’s size limits. Pleading paper does not disappear in e-filing — the line-numbered format is still required for the documents you prepare yourself.</w:t>
      </w:r>
    </w:p>
    <w:p>
      <w:r>
        <w:br w:type="page"/>
      </w:r>
    </w:p>
    <w:p>
      <w:pPr>
        <w:pStyle w:val="Heading1"/>
      </w:pPr>
      <w:r>
        <w:t xml:space="preserve">Part III — California Courts of Appeal &amp; Supreme Court</w:t>
      </w:r>
    </w:p>
    <w:p>
      <w:pPr>
        <w:spacing w:after="140" w:line="276"/>
      </w:pPr>
      <w:r>
        <w:t xml:space="preserve">Appellate documents are governed by CRC Title 8. Briefs do not use trial-court pleading paper — line numbering is not required — but they have their own strict form, length, and cover rules. The central rule is CRC 8.204 (contents and format of briefs).</w:t>
      </w:r>
    </w:p>
    <w:p>
      <w:pPr>
        <w:pStyle w:val="Heading2"/>
      </w:pPr>
      <w:r>
        <w:t xml:space="preserve">Brief form and length (CRC 8.204, 8.40)</w:t>
      </w:r>
    </w:p>
    <w:tbl>
      <w:tblPr>
        <w:tblW w:type="dxa" w:w="9360"/>
        <w:tblBorders>
          <w:top w:val="single" w:color="B4C6E7" w:sz="1"/>
          <w:left w:val="single" w:color="B4C6E7" w:sz="1"/>
          <w:bottom w:val="single" w:color="B4C6E7" w:sz="1"/>
          <w:right w:val="single" w:color="B4C6E7" w:sz="1"/>
          <w:insideH w:val="single" w:color="B4C6E7" w:sz="1"/>
          <w:insideV w:val="single" w:color="B4C6E7" w:sz="1"/>
        </w:tblBorders>
      </w:tblPr>
      <w:tblGrid>
        <w:gridCol w:w="2400"/>
        <w:gridCol w:w="6960"/>
      </w:tblGrid>
      <w:tr>
        <w:trPr>
          <w:tblHeader/>
        </w:trPr>
        <w:tc>
          <w:tcPr>
            <w:tcW w:type="dxa" w:w="2400"/>
            <w:shd w:fill="2E5496" w:val="clear"/>
            <w:tcMar>
              <w:top w:type="dxa" w:w="70"/>
              <w:left w:type="dxa" w:w="110"/>
              <w:bottom w:type="dxa" w:w="70"/>
              <w:right w:type="dxa" w:w="110"/>
            </w:tcMar>
            <w:vAlign w:val="center"/>
          </w:tcPr>
          <w:p>
            <w:pPr>
              <w:spacing w:after="0" w:line="252"/>
            </w:pPr>
            <w:r>
              <w:rPr>
                <w:b/>
                <w:bCs/>
                <w:color w:val="FFFFFF"/>
              </w:rPr>
              <w:t xml:space="preserve">Topic</w:t>
            </w:r>
          </w:p>
        </w:tc>
        <w:tc>
          <w:tcPr>
            <w:tcW w:type="dxa" w:w="6960"/>
            <w:shd w:fill="2E5496" w:val="clear"/>
            <w:tcMar>
              <w:top w:type="dxa" w:w="70"/>
              <w:left w:type="dxa" w:w="110"/>
              <w:bottom w:type="dxa" w:w="70"/>
              <w:right w:type="dxa" w:w="110"/>
            </w:tcMar>
            <w:vAlign w:val="center"/>
          </w:tcPr>
          <w:p>
            <w:pPr>
              <w:spacing w:after="0" w:line="252"/>
            </w:pPr>
            <w:r>
              <w:rPr>
                <w:b/>
                <w:bCs/>
                <w:color w:val="FFFFFF"/>
              </w:rPr>
              <w:t xml:space="preserve">Requirement</w:t>
            </w:r>
          </w:p>
        </w:tc>
      </w:tr>
      <w:tr>
        <w:tc>
          <w:tcPr>
            <w:tcW w:type="dxa" w:w="2400"/>
            <w:shd w:fill="FFFFFF" w:val="clear"/>
            <w:tcMar>
              <w:top w:type="dxa" w:w="70"/>
              <w:left w:type="dxa" w:w="110"/>
              <w:bottom w:type="dxa" w:w="70"/>
              <w:right w:type="dxa" w:w="110"/>
            </w:tcMar>
            <w:vAlign w:val="center"/>
          </w:tcPr>
          <w:p>
            <w:pPr>
              <w:spacing w:after="0" w:line="252"/>
            </w:pPr>
            <w:r>
              <w:rPr>
                <w:b w:val="false"/>
                <w:bCs w:val="false"/>
                <w:color w:val="000000"/>
              </w:rPr>
              <w:t xml:space="preserve">Font size</w:t>
            </w:r>
          </w:p>
        </w:tc>
        <w:tc>
          <w:tcPr>
            <w:tcW w:type="dxa" w:w="6960"/>
            <w:shd w:fill="FFFFFF" w:val="clear"/>
            <w:tcMar>
              <w:top w:type="dxa" w:w="70"/>
              <w:left w:type="dxa" w:w="110"/>
              <w:bottom w:type="dxa" w:w="70"/>
              <w:right w:type="dxa" w:w="110"/>
            </w:tcMar>
            <w:vAlign w:val="center"/>
          </w:tcPr>
          <w:p>
            <w:pPr>
              <w:spacing w:after="0" w:line="252"/>
            </w:pPr>
            <w:r>
              <w:rPr>
                <w:b w:val="false"/>
                <w:bCs w:val="false"/>
                <w:color w:val="000000"/>
              </w:rPr>
              <w:t xml:space="preserve">At least 13-point, including footnotes (CRC 8.204(b)).</w:t>
            </w:r>
          </w:p>
        </w:tc>
      </w:tr>
      <w:tr>
        <w:tc>
          <w:tcPr>
            <w:tcW w:type="dxa" w:w="2400"/>
            <w:shd w:fill="F2F2F2" w:val="clear"/>
            <w:tcMar>
              <w:top w:type="dxa" w:w="70"/>
              <w:left w:type="dxa" w:w="110"/>
              <w:bottom w:type="dxa" w:w="70"/>
              <w:right w:type="dxa" w:w="110"/>
            </w:tcMar>
            <w:vAlign w:val="center"/>
          </w:tcPr>
          <w:p>
            <w:pPr>
              <w:spacing w:after="0" w:line="252"/>
            </w:pPr>
            <w:r>
              <w:rPr>
                <w:b w:val="false"/>
                <w:bCs w:val="false"/>
                <w:color w:val="000000"/>
              </w:rPr>
              <w:t xml:space="preserve">Font style</w:t>
            </w:r>
          </w:p>
        </w:tc>
        <w:tc>
          <w:tcPr>
            <w:tcW w:type="dxa" w:w="6960"/>
            <w:shd w:fill="F2F2F2" w:val="clear"/>
            <w:tcMar>
              <w:top w:type="dxa" w:w="70"/>
              <w:left w:type="dxa" w:w="110"/>
              <w:bottom w:type="dxa" w:w="70"/>
              <w:right w:type="dxa" w:w="110"/>
            </w:tcMar>
            <w:vAlign w:val="center"/>
          </w:tcPr>
          <w:p>
            <w:pPr>
              <w:spacing w:after="0" w:line="252"/>
            </w:pPr>
            <w:r>
              <w:rPr>
                <w:b w:val="false"/>
                <w:bCs w:val="false"/>
                <w:color w:val="000000"/>
              </w:rPr>
              <w:t xml:space="preserve">Roman/serif typeface; the same body font throughout.</w:t>
            </w:r>
          </w:p>
        </w:tc>
      </w:tr>
      <w:tr>
        <w:tc>
          <w:tcPr>
            <w:tcW w:type="dxa" w:w="2400"/>
            <w:shd w:fill="FFFFFF" w:val="clear"/>
            <w:tcMar>
              <w:top w:type="dxa" w:w="70"/>
              <w:left w:type="dxa" w:w="110"/>
              <w:bottom w:type="dxa" w:w="70"/>
              <w:right w:type="dxa" w:w="110"/>
            </w:tcMar>
            <w:vAlign w:val="center"/>
          </w:tcPr>
          <w:p>
            <w:pPr>
              <w:spacing w:after="0" w:line="252"/>
            </w:pPr>
            <w:r>
              <w:rPr>
                <w:b w:val="false"/>
                <w:bCs w:val="false"/>
                <w:color w:val="000000"/>
              </w:rPr>
              <w:t xml:space="preserve">Spacing</w:t>
            </w:r>
          </w:p>
        </w:tc>
        <w:tc>
          <w:tcPr>
            <w:tcW w:type="dxa" w:w="6960"/>
            <w:shd w:fill="FFFFFF" w:val="clear"/>
            <w:tcMar>
              <w:top w:type="dxa" w:w="70"/>
              <w:left w:type="dxa" w:w="110"/>
              <w:bottom w:type="dxa" w:w="70"/>
              <w:right w:type="dxa" w:w="110"/>
            </w:tcMar>
            <w:vAlign w:val="center"/>
          </w:tcPr>
          <w:p>
            <w:pPr>
              <w:spacing w:after="0" w:line="252"/>
            </w:pPr>
            <w:r>
              <w:rPr>
                <w:b w:val="false"/>
                <w:bCs w:val="false"/>
                <w:color w:val="000000"/>
              </w:rPr>
              <w:t xml:space="preserve">Lines 1½-spaced; footnotes and block quotations may be single-spaced.</w:t>
            </w:r>
          </w:p>
        </w:tc>
      </w:tr>
      <w:tr>
        <w:tc>
          <w:tcPr>
            <w:tcW w:type="dxa" w:w="2400"/>
            <w:shd w:fill="F2F2F2" w:val="clear"/>
            <w:tcMar>
              <w:top w:type="dxa" w:w="70"/>
              <w:left w:type="dxa" w:w="110"/>
              <w:bottom w:type="dxa" w:w="70"/>
              <w:right w:type="dxa" w:w="110"/>
            </w:tcMar>
            <w:vAlign w:val="center"/>
          </w:tcPr>
          <w:p>
            <w:pPr>
              <w:spacing w:after="0" w:line="252"/>
            </w:pPr>
            <w:r>
              <w:rPr>
                <w:b w:val="false"/>
                <w:bCs w:val="false"/>
                <w:color w:val="000000"/>
              </w:rPr>
              <w:t xml:space="preserve">Paper / size</w:t>
            </w:r>
          </w:p>
        </w:tc>
        <w:tc>
          <w:tcPr>
            <w:tcW w:type="dxa" w:w="6960"/>
            <w:shd w:fill="F2F2F2" w:val="clear"/>
            <w:tcMar>
              <w:top w:type="dxa" w:w="70"/>
              <w:left w:type="dxa" w:w="110"/>
              <w:bottom w:type="dxa" w:w="70"/>
              <w:right w:type="dxa" w:w="110"/>
            </w:tcMar>
            <w:vAlign w:val="center"/>
          </w:tcPr>
          <w:p>
            <w:pPr>
              <w:spacing w:after="0" w:line="252"/>
            </w:pPr>
            <w:r>
              <w:rPr>
                <w:b w:val="false"/>
                <w:bCs w:val="false"/>
                <w:color w:val="000000"/>
              </w:rPr>
              <w:t xml:space="preserve">8½ × 11 inches; if filed on paper, white or unbleached, at least 20-lb. weight; one side or both.</w:t>
            </w:r>
          </w:p>
        </w:tc>
      </w:tr>
      <w:tr>
        <w:tc>
          <w:tcPr>
            <w:tcW w:type="dxa" w:w="2400"/>
            <w:shd w:fill="FFFFFF" w:val="clear"/>
            <w:tcMar>
              <w:top w:type="dxa" w:w="70"/>
              <w:left w:type="dxa" w:w="110"/>
              <w:bottom w:type="dxa" w:w="70"/>
              <w:right w:type="dxa" w:w="110"/>
            </w:tcMar>
            <w:vAlign w:val="center"/>
          </w:tcPr>
          <w:p>
            <w:pPr>
              <w:spacing w:after="0" w:line="252"/>
            </w:pPr>
            <w:r>
              <w:rPr>
                <w:b w:val="false"/>
                <w:bCs w:val="false"/>
                <w:color w:val="000000"/>
              </w:rPr>
              <w:t xml:space="preserve">Length (computer-produced)</w:t>
            </w:r>
          </w:p>
        </w:tc>
        <w:tc>
          <w:tcPr>
            <w:tcW w:type="dxa" w:w="6960"/>
            <w:shd w:fill="FFFFFF" w:val="clear"/>
            <w:tcMar>
              <w:top w:type="dxa" w:w="70"/>
              <w:left w:type="dxa" w:w="110"/>
              <w:bottom w:type="dxa" w:w="70"/>
              <w:right w:type="dxa" w:w="110"/>
            </w:tcMar>
            <w:vAlign w:val="center"/>
          </w:tcPr>
          <w:p>
            <w:pPr>
              <w:spacing w:after="0" w:line="252"/>
            </w:pPr>
            <w:r>
              <w:rPr>
                <w:b w:val="false"/>
                <w:bCs w:val="false"/>
                <w:color w:val="000000"/>
              </w:rPr>
              <w:t xml:space="preserve">No more than 14,000 words, including footnotes. Tables, cover, certificates, and attachments are excluded.</w:t>
            </w:r>
          </w:p>
        </w:tc>
      </w:tr>
      <w:tr>
        <w:tc>
          <w:tcPr>
            <w:tcW w:type="dxa" w:w="2400"/>
            <w:shd w:fill="F2F2F2" w:val="clear"/>
            <w:tcMar>
              <w:top w:type="dxa" w:w="70"/>
              <w:left w:type="dxa" w:w="110"/>
              <w:bottom w:type="dxa" w:w="70"/>
              <w:right w:type="dxa" w:w="110"/>
            </w:tcMar>
            <w:vAlign w:val="center"/>
          </w:tcPr>
          <w:p>
            <w:pPr>
              <w:spacing w:after="0" w:line="252"/>
            </w:pPr>
            <w:r>
              <w:rPr>
                <w:b w:val="false"/>
                <w:bCs w:val="false"/>
                <w:color w:val="000000"/>
              </w:rPr>
              <w:t xml:space="preserve">Length (typewritten)</w:t>
            </w:r>
          </w:p>
        </w:tc>
        <w:tc>
          <w:tcPr>
            <w:tcW w:type="dxa" w:w="6960"/>
            <w:shd w:fill="F2F2F2" w:val="clear"/>
            <w:tcMar>
              <w:top w:type="dxa" w:w="70"/>
              <w:left w:type="dxa" w:w="110"/>
              <w:bottom w:type="dxa" w:w="70"/>
              <w:right w:type="dxa" w:w="110"/>
            </w:tcMar>
            <w:vAlign w:val="center"/>
          </w:tcPr>
          <w:p>
            <w:pPr>
              <w:spacing w:after="0" w:line="252"/>
            </w:pPr>
            <w:r>
              <w:rPr>
                <w:b w:val="false"/>
                <w:bCs w:val="false"/>
                <w:color w:val="000000"/>
              </w:rPr>
              <w:t xml:space="preserve">No more than 50 pages.</w:t>
            </w:r>
          </w:p>
        </w:tc>
      </w:tr>
      <w:tr>
        <w:tc>
          <w:tcPr>
            <w:tcW w:type="dxa" w:w="2400"/>
            <w:shd w:fill="FFFFFF" w:val="clear"/>
            <w:tcMar>
              <w:top w:type="dxa" w:w="70"/>
              <w:left w:type="dxa" w:w="110"/>
              <w:bottom w:type="dxa" w:w="70"/>
              <w:right w:type="dxa" w:w="110"/>
            </w:tcMar>
            <w:vAlign w:val="center"/>
          </w:tcPr>
          <w:p>
            <w:pPr>
              <w:spacing w:after="0" w:line="252"/>
            </w:pPr>
            <w:r>
              <w:rPr>
                <w:b w:val="false"/>
                <w:bCs w:val="false"/>
                <w:color w:val="000000"/>
              </w:rPr>
              <w:t xml:space="preserve">Word-count certificate</w:t>
            </w:r>
          </w:p>
        </w:tc>
        <w:tc>
          <w:tcPr>
            <w:tcW w:type="dxa" w:w="6960"/>
            <w:shd w:fill="FFFFFF" w:val="clear"/>
            <w:tcMar>
              <w:top w:type="dxa" w:w="70"/>
              <w:left w:type="dxa" w:w="110"/>
              <w:bottom w:type="dxa" w:w="70"/>
              <w:right w:type="dxa" w:w="110"/>
            </w:tcMar>
            <w:vAlign w:val="center"/>
          </w:tcPr>
          <w:p>
            <w:pPr>
              <w:spacing w:after="0" w:line="252"/>
            </w:pPr>
            <w:r>
              <w:rPr>
                <w:b w:val="false"/>
                <w:bCs w:val="false"/>
                <w:color w:val="000000"/>
              </w:rPr>
              <w:t xml:space="preserve">A computer-produced brief must include a certificate of the word count (CRC 8.204(c)).</w:t>
            </w:r>
          </w:p>
        </w:tc>
      </w:tr>
      <w:tr>
        <w:tc>
          <w:tcPr>
            <w:tcW w:type="dxa" w:w="2400"/>
            <w:shd w:fill="F2F2F2" w:val="clear"/>
            <w:tcMar>
              <w:top w:type="dxa" w:w="70"/>
              <w:left w:type="dxa" w:w="110"/>
              <w:bottom w:type="dxa" w:w="70"/>
              <w:right w:type="dxa" w:w="110"/>
            </w:tcMar>
            <w:vAlign w:val="center"/>
          </w:tcPr>
          <w:p>
            <w:pPr>
              <w:spacing w:after="0" w:line="252"/>
            </w:pPr>
            <w:r>
              <w:rPr>
                <w:b w:val="false"/>
                <w:bCs w:val="false"/>
                <w:color w:val="000000"/>
              </w:rPr>
              <w:t xml:space="preserve">Longer brief</w:t>
            </w:r>
          </w:p>
        </w:tc>
        <w:tc>
          <w:tcPr>
            <w:tcW w:type="dxa" w:w="6960"/>
            <w:shd w:fill="F2F2F2" w:val="clear"/>
            <w:tcMar>
              <w:top w:type="dxa" w:w="70"/>
              <w:left w:type="dxa" w:w="110"/>
              <w:bottom w:type="dxa" w:w="70"/>
              <w:right w:type="dxa" w:w="110"/>
            </w:tcMar>
            <w:vAlign w:val="center"/>
          </w:tcPr>
          <w:p>
            <w:pPr>
              <w:spacing w:after="0" w:line="252"/>
            </w:pPr>
            <w:r>
              <w:rPr>
                <w:b w:val="false"/>
                <w:bCs w:val="false"/>
                <w:color w:val="000000"/>
              </w:rPr>
              <w:t xml:space="preserve">The presiding justice may permit a longer brief for good cause on application.</w:t>
            </w:r>
          </w:p>
        </w:tc>
      </w:tr>
    </w:tbl>
    <w:p>
      <w:pPr>
        <w:spacing w:after="60"/>
      </w:pPr>
    </w:p>
    <w:p>
      <w:pPr>
        <w:pStyle w:val="Heading3"/>
      </w:pPr>
      <w:r>
        <w:t xml:space="preserve">Cover colors (paper filings) — CRC 8.40</w:t>
      </w:r>
    </w:p>
    <w:p>
      <w:pPr>
        <w:spacing w:after="140" w:line="276"/>
      </w:pPr>
      <w:r>
        <w:t xml:space="preserve">Color signals which brief is which. Electronic filings are exempt from the color rule, but the convention is still followed in captions:</w:t>
      </w:r>
    </w:p>
    <w:tbl>
      <w:tblPr>
        <w:tblW w:type="dxa" w:w="9360"/>
        <w:tblBorders>
          <w:top w:val="single" w:color="B4C6E7" w:sz="1"/>
          <w:left w:val="single" w:color="B4C6E7" w:sz="1"/>
          <w:bottom w:val="single" w:color="B4C6E7" w:sz="1"/>
          <w:right w:val="single" w:color="B4C6E7" w:sz="1"/>
          <w:insideH w:val="single" w:color="B4C6E7" w:sz="1"/>
          <w:insideV w:val="single" w:color="B4C6E7" w:sz="1"/>
        </w:tblBorders>
      </w:tblPr>
      <w:tblGrid>
        <w:gridCol w:w="4680"/>
        <w:gridCol w:w="4680"/>
      </w:tblGrid>
      <w:tr>
        <w:trPr>
          <w:tblHeader/>
        </w:trPr>
        <w:tc>
          <w:tcPr>
            <w:tcW w:type="dxa" w:w="4680"/>
            <w:shd w:fill="2E5496" w:val="clear"/>
            <w:tcMar>
              <w:top w:type="dxa" w:w="70"/>
              <w:left w:type="dxa" w:w="110"/>
              <w:bottom w:type="dxa" w:w="70"/>
              <w:right w:type="dxa" w:w="110"/>
            </w:tcMar>
            <w:vAlign w:val="center"/>
          </w:tcPr>
          <w:p>
            <w:pPr>
              <w:spacing w:after="0" w:line="252"/>
            </w:pPr>
            <w:r>
              <w:rPr>
                <w:b/>
                <w:bCs/>
                <w:color w:val="FFFFFF"/>
              </w:rPr>
              <w:t xml:space="preserve">Brief</w:t>
            </w:r>
          </w:p>
        </w:tc>
        <w:tc>
          <w:tcPr>
            <w:tcW w:type="dxa" w:w="4680"/>
            <w:shd w:fill="2E5496" w:val="clear"/>
            <w:tcMar>
              <w:top w:type="dxa" w:w="70"/>
              <w:left w:type="dxa" w:w="110"/>
              <w:bottom w:type="dxa" w:w="70"/>
              <w:right w:type="dxa" w:w="110"/>
            </w:tcMar>
            <w:vAlign w:val="center"/>
          </w:tcPr>
          <w:p>
            <w:pPr>
              <w:spacing w:after="0" w:line="252"/>
            </w:pPr>
            <w:r>
              <w:rPr>
                <w:b/>
                <w:bCs/>
                <w:color w:val="FFFFFF"/>
              </w:rPr>
              <w:t xml:space="preserve">Cover color</w:t>
            </w:r>
          </w:p>
        </w:tc>
      </w:tr>
      <w:tr>
        <w:tc>
          <w:tcPr>
            <w:tcW w:type="dxa" w:w="4680"/>
            <w:shd w:fill="FFFFFF" w:val="clear"/>
            <w:tcMar>
              <w:top w:type="dxa" w:w="70"/>
              <w:left w:type="dxa" w:w="110"/>
              <w:bottom w:type="dxa" w:w="70"/>
              <w:right w:type="dxa" w:w="110"/>
            </w:tcMar>
            <w:vAlign w:val="center"/>
          </w:tcPr>
          <w:p>
            <w:pPr>
              <w:spacing w:after="0" w:line="252"/>
            </w:pPr>
            <w:r>
              <w:rPr>
                <w:b w:val="false"/>
                <w:bCs w:val="false"/>
                <w:color w:val="000000"/>
              </w:rPr>
              <w:t xml:space="preserve">Appellant’s opening brief</w:t>
            </w:r>
          </w:p>
        </w:tc>
        <w:tc>
          <w:tcPr>
            <w:tcW w:type="dxa" w:w="4680"/>
            <w:shd w:fill="FFFFFF" w:val="clear"/>
            <w:tcMar>
              <w:top w:type="dxa" w:w="70"/>
              <w:left w:type="dxa" w:w="110"/>
              <w:bottom w:type="dxa" w:w="70"/>
              <w:right w:type="dxa" w:w="110"/>
            </w:tcMar>
            <w:vAlign w:val="center"/>
          </w:tcPr>
          <w:p>
            <w:pPr>
              <w:spacing w:after="0" w:line="252"/>
            </w:pPr>
            <w:r>
              <w:rPr>
                <w:b w:val="false"/>
                <w:bCs w:val="false"/>
                <w:color w:val="000000"/>
              </w:rPr>
              <w:t xml:space="preserve">Green</w:t>
            </w:r>
          </w:p>
        </w:tc>
      </w:tr>
      <w:tr>
        <w:tc>
          <w:tcPr>
            <w:tcW w:type="dxa" w:w="4680"/>
            <w:shd w:fill="F2F2F2" w:val="clear"/>
            <w:tcMar>
              <w:top w:type="dxa" w:w="70"/>
              <w:left w:type="dxa" w:w="110"/>
              <w:bottom w:type="dxa" w:w="70"/>
              <w:right w:type="dxa" w:w="110"/>
            </w:tcMar>
            <w:vAlign w:val="center"/>
          </w:tcPr>
          <w:p>
            <w:pPr>
              <w:spacing w:after="0" w:line="252"/>
            </w:pPr>
            <w:r>
              <w:rPr>
                <w:b w:val="false"/>
                <w:bCs w:val="false"/>
                <w:color w:val="000000"/>
              </w:rPr>
              <w:t xml:space="preserve">Respondent’s brief</w:t>
            </w:r>
          </w:p>
        </w:tc>
        <w:tc>
          <w:tcPr>
            <w:tcW w:type="dxa" w:w="4680"/>
            <w:shd w:fill="F2F2F2" w:val="clear"/>
            <w:tcMar>
              <w:top w:type="dxa" w:w="70"/>
              <w:left w:type="dxa" w:w="110"/>
              <w:bottom w:type="dxa" w:w="70"/>
              <w:right w:type="dxa" w:w="110"/>
            </w:tcMar>
            <w:vAlign w:val="center"/>
          </w:tcPr>
          <w:p>
            <w:pPr>
              <w:spacing w:after="0" w:line="252"/>
            </w:pPr>
            <w:r>
              <w:rPr>
                <w:b w:val="false"/>
                <w:bCs w:val="false"/>
                <w:color w:val="000000"/>
              </w:rPr>
              <w:t xml:space="preserve">Yellow</w:t>
            </w:r>
          </w:p>
        </w:tc>
      </w:tr>
      <w:tr>
        <w:tc>
          <w:tcPr>
            <w:tcW w:type="dxa" w:w="4680"/>
            <w:shd w:fill="FFFFFF" w:val="clear"/>
            <w:tcMar>
              <w:top w:type="dxa" w:w="70"/>
              <w:left w:type="dxa" w:w="110"/>
              <w:bottom w:type="dxa" w:w="70"/>
              <w:right w:type="dxa" w:w="110"/>
            </w:tcMar>
            <w:vAlign w:val="center"/>
          </w:tcPr>
          <w:p>
            <w:pPr>
              <w:spacing w:after="0" w:line="252"/>
            </w:pPr>
            <w:r>
              <w:rPr>
                <w:b w:val="false"/>
                <w:bCs w:val="false"/>
                <w:color w:val="000000"/>
              </w:rPr>
              <w:t xml:space="preserve">Appellant’s reply brief</w:t>
            </w:r>
          </w:p>
        </w:tc>
        <w:tc>
          <w:tcPr>
            <w:tcW w:type="dxa" w:w="4680"/>
            <w:shd w:fill="FFFFFF" w:val="clear"/>
            <w:tcMar>
              <w:top w:type="dxa" w:w="70"/>
              <w:left w:type="dxa" w:w="110"/>
              <w:bottom w:type="dxa" w:w="70"/>
              <w:right w:type="dxa" w:w="110"/>
            </w:tcMar>
            <w:vAlign w:val="center"/>
          </w:tcPr>
          <w:p>
            <w:pPr>
              <w:spacing w:after="0" w:line="252"/>
            </w:pPr>
            <w:r>
              <w:rPr>
                <w:b w:val="false"/>
                <w:bCs w:val="false"/>
                <w:color w:val="000000"/>
              </w:rPr>
              <w:t xml:space="preserve">Tan</w:t>
            </w:r>
          </w:p>
        </w:tc>
      </w:tr>
      <w:tr>
        <w:tc>
          <w:tcPr>
            <w:tcW w:type="dxa" w:w="4680"/>
            <w:shd w:fill="F2F2F2" w:val="clear"/>
            <w:tcMar>
              <w:top w:type="dxa" w:w="70"/>
              <w:left w:type="dxa" w:w="110"/>
              <w:bottom w:type="dxa" w:w="70"/>
              <w:right w:type="dxa" w:w="110"/>
            </w:tcMar>
            <w:vAlign w:val="center"/>
          </w:tcPr>
          <w:p>
            <w:pPr>
              <w:spacing w:after="0" w:line="252"/>
            </w:pPr>
            <w:r>
              <w:rPr>
                <w:b w:val="false"/>
                <w:bCs w:val="false"/>
                <w:color w:val="000000"/>
              </w:rPr>
              <w:t xml:space="preserve">Joint appendix / amicus / petition</w:t>
            </w:r>
          </w:p>
        </w:tc>
        <w:tc>
          <w:tcPr>
            <w:tcW w:type="dxa" w:w="4680"/>
            <w:shd w:fill="F2F2F2" w:val="clear"/>
            <w:tcMar>
              <w:top w:type="dxa" w:w="70"/>
              <w:left w:type="dxa" w:w="110"/>
              <w:bottom w:type="dxa" w:w="70"/>
              <w:right w:type="dxa" w:w="110"/>
            </w:tcMar>
            <w:vAlign w:val="center"/>
          </w:tcPr>
          <w:p>
            <w:pPr>
              <w:spacing w:after="0" w:line="252"/>
            </w:pPr>
            <w:r>
              <w:rPr>
                <w:b w:val="false"/>
                <w:bCs w:val="false"/>
                <w:color w:val="000000"/>
              </w:rPr>
              <w:t xml:space="preserve">See CRC 8.40(b) — e.g., amicus is gray; petition for review is white</w:t>
            </w:r>
          </w:p>
        </w:tc>
      </w:tr>
    </w:tbl>
    <w:p>
      <w:pPr>
        <w:pStyle w:val="Heading2"/>
      </w:pPr>
      <w:r>
        <w:t xml:space="preserve">Required contents and order of a brief</w:t>
      </w:r>
    </w:p>
    <w:p>
      <w:pPr>
        <w:spacing w:after="140" w:line="276"/>
      </w:pPr>
      <w:r>
        <w:t xml:space="preserve">CRC 8.204(a) and related rules fix the order: (1) cover with the case caption and counsel information; (2) a Certificate of Interested Entities or Persons (CRC 8.208) in the Court of Appeal; (3) tables of contents and of authorities; (4) a statement of the case and statement of appealability; (5) a statement of facts with citations to the record by volume and page; (6) the argument, divided by point headings that summarize each point; (7) a conclusion stating the precise relief sought; (8) the signature; and (9) the word-count certificate. Every factual assertion must be supported by a citation to the appellate record.</w:t>
      </w:r>
    </w:p>
    <w:tbl>
      <w:tblPr>
        <w:tblW w:type="dxa" w:w="9360"/>
        <w:tblBorders>
          <w:top w:val="single" w:color="2E5496" w:sz="6"/>
          <w:left w:val="single" w:color="2E5496" w:sz="6"/>
          <w:bottom w:val="single" w:color="2E5496" w:sz="6"/>
          <w:right w:val="single" w:color="2E5496" w:sz="6"/>
          <w:insideH w:val="single" w:color="auto" w:sz="4"/>
          <w:insideV w:val="single" w:color="auto" w:sz="4"/>
        </w:tblBorders>
      </w:tblPr>
      <w:tblGrid>
        <w:gridCol w:w="9360"/>
      </w:tblGrid>
      <w:tr>
        <w:tc>
          <w:tcPr>
            <w:tcW w:type="dxa" w:w="9360"/>
            <w:shd w:fill="D9E2F3" w:val="clear"/>
            <w:tcMar>
              <w:top w:type="dxa" w:w="120"/>
              <w:left w:type="dxa" w:w="160"/>
              <w:bottom w:type="dxa" w:w="120"/>
              <w:right w:type="dxa" w:w="160"/>
            </w:tcMar>
          </w:tcPr>
          <w:p>
            <w:pPr>
              <w:spacing w:after="60"/>
            </w:pPr>
            <w:r>
              <w:rPr>
                <w:b/>
                <w:bCs/>
                <w:color w:val="1F3864"/>
              </w:rPr>
              <w:t xml:space="preserve">Appellate non-negotiables</w:t>
            </w:r>
          </w:p>
          <w:p>
            <w:pPr>
              <w:spacing w:after="40" w:line="264"/>
            </w:pPr>
            <w:r>
              <w:t xml:space="preserve">Cite the record for every fact (e.g., “(2 CT 145)” or “(3 RT 512)”). Point headings must be argumentative, not topical. Confirm the word count and attach the certificate. The Supreme Court adds its own conventions for petitions for review (CRC 8.504) — check Title 8 for the specific document.</w:t>
            </w:r>
          </w:p>
        </w:tc>
      </w:tr>
    </w:tbl>
    <w:p>
      <w:r>
        <w:br w:type="page"/>
      </w:r>
    </w:p>
    <w:p>
      <w:pPr>
        <w:pStyle w:val="Heading1"/>
      </w:pPr>
      <w:r>
        <w:t xml:space="preserve">Part IV — Federal Courts in California</w:t>
      </w:r>
    </w:p>
    <w:p>
      <w:pPr>
        <w:spacing w:after="140" w:line="276"/>
      </w:pPr>
      <w:r>
        <w:t xml:space="preserve">Federal practice layers three rule sets: the Federal Rules (Civil or Appellate Procedure), the local rules of the specific court, and the assigned judge’s standing order. The four district courts in California — Northern (N.D. Cal.), Central (C.D. Cal.), Eastern (E.D. Cal.), and Southern (S.D. Cal.) — each have their own local rules, and the Ninth Circuit governs appeals.</w:t>
      </w:r>
    </w:p>
    <w:p>
      <w:pPr>
        <w:pStyle w:val="Heading2"/>
      </w:pPr>
      <w:r>
        <w:t xml:space="preserve">District courts — form of documents</w:t>
      </w:r>
    </w:p>
    <w:p>
      <w:pPr>
        <w:spacing w:after="140" w:line="276"/>
      </w:pPr>
      <w:r>
        <w:t xml:space="preserve">Federal district documents use a line-numbered, caption-first format similar to California pleading paper, but governed by each district’s local rules rather than the CRC. The N.D. Cal. rule (Civil L.R. 3-4) is representative:</w:t>
      </w:r>
    </w:p>
    <w:tbl>
      <w:tblPr>
        <w:tblW w:type="dxa" w:w="9360"/>
        <w:tblBorders>
          <w:top w:val="single" w:color="B4C6E7" w:sz="1"/>
          <w:left w:val="single" w:color="B4C6E7" w:sz="1"/>
          <w:bottom w:val="single" w:color="B4C6E7" w:sz="1"/>
          <w:right w:val="single" w:color="B4C6E7" w:sz="1"/>
          <w:insideH w:val="single" w:color="B4C6E7" w:sz="1"/>
          <w:insideV w:val="single" w:color="B4C6E7" w:sz="1"/>
        </w:tblBorders>
      </w:tblPr>
      <w:tblGrid>
        <w:gridCol w:w="2400"/>
        <w:gridCol w:w="6960"/>
      </w:tblGrid>
      <w:tr>
        <w:trPr>
          <w:tblHeader/>
        </w:trPr>
        <w:tc>
          <w:tcPr>
            <w:tcW w:type="dxa" w:w="2400"/>
            <w:shd w:fill="2E5496" w:val="clear"/>
            <w:tcMar>
              <w:top w:type="dxa" w:w="70"/>
              <w:left w:type="dxa" w:w="110"/>
              <w:bottom w:type="dxa" w:w="70"/>
              <w:right w:type="dxa" w:w="110"/>
            </w:tcMar>
            <w:vAlign w:val="center"/>
          </w:tcPr>
          <w:p>
            <w:pPr>
              <w:spacing w:after="0" w:line="252"/>
            </w:pPr>
            <w:r>
              <w:rPr>
                <w:b/>
                <w:bCs/>
                <w:color w:val="FFFFFF"/>
              </w:rPr>
              <w:t xml:space="preserve">Topic</w:t>
            </w:r>
          </w:p>
        </w:tc>
        <w:tc>
          <w:tcPr>
            <w:tcW w:type="dxa" w:w="6960"/>
            <w:shd w:fill="2E5496" w:val="clear"/>
            <w:tcMar>
              <w:top w:type="dxa" w:w="70"/>
              <w:left w:type="dxa" w:w="110"/>
              <w:bottom w:type="dxa" w:w="70"/>
              <w:right w:type="dxa" w:w="110"/>
            </w:tcMar>
            <w:vAlign w:val="center"/>
          </w:tcPr>
          <w:p>
            <w:pPr>
              <w:spacing w:after="0" w:line="252"/>
            </w:pPr>
            <w:r>
              <w:rPr>
                <w:b/>
                <w:bCs/>
                <w:color w:val="FFFFFF"/>
              </w:rPr>
              <w:t xml:space="preserve">N.D. Cal. Civil L.R. 3-4 (representative)</w:t>
            </w:r>
          </w:p>
        </w:tc>
      </w:tr>
      <w:tr>
        <w:tc>
          <w:tcPr>
            <w:tcW w:type="dxa" w:w="2400"/>
            <w:shd w:fill="FFFFFF" w:val="clear"/>
            <w:tcMar>
              <w:top w:type="dxa" w:w="70"/>
              <w:left w:type="dxa" w:w="110"/>
              <w:bottom w:type="dxa" w:w="70"/>
              <w:right w:type="dxa" w:w="110"/>
            </w:tcMar>
            <w:vAlign w:val="center"/>
          </w:tcPr>
          <w:p>
            <w:pPr>
              <w:spacing w:after="0" w:line="252"/>
            </w:pPr>
            <w:r>
              <w:rPr>
                <w:b w:val="false"/>
                <w:bCs w:val="false"/>
                <w:color w:val="000000"/>
              </w:rPr>
              <w:t xml:space="preserve">Paper / lines</w:t>
            </w:r>
          </w:p>
        </w:tc>
        <w:tc>
          <w:tcPr>
            <w:tcW w:type="dxa" w:w="6960"/>
            <w:shd w:fill="FFFFFF" w:val="clear"/>
            <w:tcMar>
              <w:top w:type="dxa" w:w="70"/>
              <w:left w:type="dxa" w:w="110"/>
              <w:bottom w:type="dxa" w:w="70"/>
              <w:right w:type="dxa" w:w="110"/>
            </w:tcMar>
            <w:vAlign w:val="center"/>
          </w:tcPr>
          <w:p>
            <w:pPr>
              <w:spacing w:after="0" w:line="252"/>
            </w:pPr>
            <w:r>
              <w:rPr>
                <w:b w:val="false"/>
                <w:bCs w:val="false"/>
                <w:color w:val="000000"/>
              </w:rPr>
              <w:t xml:space="preserve">8½ × 11 white paper with numbered lines; no more than 28 lines per page.</w:t>
            </w:r>
          </w:p>
        </w:tc>
      </w:tr>
      <w:tr>
        <w:tc>
          <w:tcPr>
            <w:tcW w:type="dxa" w:w="2400"/>
            <w:shd w:fill="F2F2F2" w:val="clear"/>
            <w:tcMar>
              <w:top w:type="dxa" w:w="70"/>
              <w:left w:type="dxa" w:w="110"/>
              <w:bottom w:type="dxa" w:w="70"/>
              <w:right w:type="dxa" w:w="110"/>
            </w:tcMar>
            <w:vAlign w:val="center"/>
          </w:tcPr>
          <w:p>
            <w:pPr>
              <w:spacing w:after="0" w:line="252"/>
            </w:pPr>
            <w:r>
              <w:rPr>
                <w:b w:val="false"/>
                <w:bCs w:val="false"/>
                <w:color w:val="000000"/>
              </w:rPr>
              <w:t xml:space="preserve">Spacing</w:t>
            </w:r>
          </w:p>
        </w:tc>
        <w:tc>
          <w:tcPr>
            <w:tcW w:type="dxa" w:w="6960"/>
            <w:shd w:fill="F2F2F2" w:val="clear"/>
            <w:tcMar>
              <w:top w:type="dxa" w:w="70"/>
              <w:left w:type="dxa" w:w="110"/>
              <w:bottom w:type="dxa" w:w="70"/>
              <w:right w:type="dxa" w:w="110"/>
            </w:tcMar>
            <w:vAlign w:val="center"/>
          </w:tcPr>
          <w:p>
            <w:pPr>
              <w:spacing w:after="0" w:line="252"/>
            </w:pPr>
            <w:r>
              <w:rPr>
                <w:b w:val="false"/>
                <w:bCs w:val="false"/>
                <w:color w:val="000000"/>
              </w:rPr>
              <w:t xml:space="preserve">Double-spaced text (except caption, headings, footnotes, quotations).</w:t>
            </w:r>
          </w:p>
        </w:tc>
      </w:tr>
      <w:tr>
        <w:tc>
          <w:tcPr>
            <w:tcW w:type="dxa" w:w="2400"/>
            <w:shd w:fill="FFFFFF" w:val="clear"/>
            <w:tcMar>
              <w:top w:type="dxa" w:w="70"/>
              <w:left w:type="dxa" w:w="110"/>
              <w:bottom w:type="dxa" w:w="70"/>
              <w:right w:type="dxa" w:w="110"/>
            </w:tcMar>
            <w:vAlign w:val="center"/>
          </w:tcPr>
          <w:p>
            <w:pPr>
              <w:spacing w:after="0" w:line="252"/>
            </w:pPr>
            <w:r>
              <w:rPr>
                <w:b w:val="false"/>
                <w:bCs w:val="false"/>
                <w:color w:val="000000"/>
              </w:rPr>
              <w:t xml:space="preserve">Font</w:t>
            </w:r>
          </w:p>
        </w:tc>
        <w:tc>
          <w:tcPr>
            <w:tcW w:type="dxa" w:w="6960"/>
            <w:shd w:fill="FFFFFF" w:val="clear"/>
            <w:tcMar>
              <w:top w:type="dxa" w:w="70"/>
              <w:left w:type="dxa" w:w="110"/>
              <w:bottom w:type="dxa" w:w="70"/>
              <w:right w:type="dxa" w:w="110"/>
            </w:tcMar>
            <w:vAlign w:val="center"/>
          </w:tcPr>
          <w:p>
            <w:pPr>
              <w:spacing w:after="0" w:line="252"/>
            </w:pPr>
            <w:r>
              <w:rPr>
                <w:b w:val="false"/>
                <w:bCs w:val="false"/>
                <w:color w:val="000000"/>
              </w:rPr>
              <w:t xml:space="preserve">Standard, proportionally spaced font (e.g., Times New Roman); 12-point or larger.</w:t>
            </w:r>
          </w:p>
        </w:tc>
      </w:tr>
      <w:tr>
        <w:tc>
          <w:tcPr>
            <w:tcW w:type="dxa" w:w="2400"/>
            <w:shd w:fill="F2F2F2" w:val="clear"/>
            <w:tcMar>
              <w:top w:type="dxa" w:w="70"/>
              <w:left w:type="dxa" w:w="110"/>
              <w:bottom w:type="dxa" w:w="70"/>
              <w:right w:type="dxa" w:w="110"/>
            </w:tcMar>
            <w:vAlign w:val="center"/>
          </w:tcPr>
          <w:p>
            <w:pPr>
              <w:spacing w:after="0" w:line="252"/>
            </w:pPr>
            <w:r>
              <w:rPr>
                <w:b w:val="false"/>
                <w:bCs w:val="false"/>
                <w:color w:val="000000"/>
              </w:rPr>
              <w:t xml:space="preserve">Footer</w:t>
            </w:r>
          </w:p>
        </w:tc>
        <w:tc>
          <w:tcPr>
            <w:tcW w:type="dxa" w:w="6960"/>
            <w:shd w:fill="F2F2F2" w:val="clear"/>
            <w:tcMar>
              <w:top w:type="dxa" w:w="70"/>
              <w:left w:type="dxa" w:w="110"/>
              <w:bottom w:type="dxa" w:w="70"/>
              <w:right w:type="dxa" w:w="110"/>
            </w:tcMar>
            <w:vAlign w:val="center"/>
          </w:tcPr>
          <w:p>
            <w:pPr>
              <w:spacing w:after="0" w:line="252"/>
            </w:pPr>
            <w:r>
              <w:rPr>
                <w:b w:val="false"/>
                <w:bCs w:val="false"/>
                <w:color w:val="000000"/>
              </w:rPr>
              <w:t xml:space="preserve">Each page bears a footer stating the title of the document (or a clear abbreviation).</w:t>
            </w:r>
          </w:p>
        </w:tc>
      </w:tr>
      <w:tr>
        <w:tc>
          <w:tcPr>
            <w:tcW w:type="dxa" w:w="2400"/>
            <w:shd w:fill="FFFFFF" w:val="clear"/>
            <w:tcMar>
              <w:top w:type="dxa" w:w="70"/>
              <w:left w:type="dxa" w:w="110"/>
              <w:bottom w:type="dxa" w:w="70"/>
              <w:right w:type="dxa" w:w="110"/>
            </w:tcMar>
            <w:vAlign w:val="center"/>
          </w:tcPr>
          <w:p>
            <w:pPr>
              <w:spacing w:after="0" w:line="252"/>
            </w:pPr>
            <w:r>
              <w:rPr>
                <w:b w:val="false"/>
                <w:bCs w:val="false"/>
                <w:color w:val="000000"/>
              </w:rPr>
              <w:t xml:space="preserve">Caption / first page</w:t>
            </w:r>
          </w:p>
        </w:tc>
        <w:tc>
          <w:tcPr>
            <w:tcW w:type="dxa" w:w="6960"/>
            <w:shd w:fill="FFFFFF" w:val="clear"/>
            <w:tcMar>
              <w:top w:type="dxa" w:w="70"/>
              <w:left w:type="dxa" w:w="110"/>
              <w:bottom w:type="dxa" w:w="70"/>
              <w:right w:type="dxa" w:w="110"/>
            </w:tcMar>
            <w:vAlign w:val="center"/>
          </w:tcPr>
          <w:p>
            <w:pPr>
              <w:spacing w:after="0" w:line="252"/>
            </w:pPr>
            <w:r>
              <w:rPr>
                <w:b w:val="false"/>
                <w:bCs w:val="false"/>
                <w:color w:val="000000"/>
              </w:rPr>
              <w:t xml:space="preserve">Counsel block (name, bar no., firm, address, phone, e-mail, party represented) upper left; court and division; case title; case number; document title; assigned judge.</w:t>
            </w:r>
          </w:p>
        </w:tc>
      </w:tr>
      <w:tr>
        <w:tc>
          <w:tcPr>
            <w:tcW w:type="dxa" w:w="2400"/>
            <w:shd w:fill="F2F2F2" w:val="clear"/>
            <w:tcMar>
              <w:top w:type="dxa" w:w="70"/>
              <w:left w:type="dxa" w:w="110"/>
              <w:bottom w:type="dxa" w:w="70"/>
              <w:right w:type="dxa" w:w="110"/>
            </w:tcMar>
            <w:vAlign w:val="center"/>
          </w:tcPr>
          <w:p>
            <w:pPr>
              <w:spacing w:after="0" w:line="252"/>
            </w:pPr>
            <w:r>
              <w:rPr>
                <w:b w:val="false"/>
                <w:bCs w:val="false"/>
                <w:color w:val="000000"/>
              </w:rPr>
              <w:t xml:space="preserve">Identifying info</w:t>
            </w:r>
          </w:p>
        </w:tc>
        <w:tc>
          <w:tcPr>
            <w:tcW w:type="dxa" w:w="6960"/>
            <w:shd w:fill="F2F2F2" w:val="clear"/>
            <w:tcMar>
              <w:top w:type="dxa" w:w="70"/>
              <w:left w:type="dxa" w:w="110"/>
              <w:bottom w:type="dxa" w:w="70"/>
              <w:right w:type="dxa" w:w="110"/>
            </w:tcMar>
            <w:vAlign w:val="center"/>
          </w:tcPr>
          <w:p>
            <w:pPr>
              <w:spacing w:after="0" w:line="252"/>
            </w:pPr>
            <w:r>
              <w:rPr>
                <w:b w:val="false"/>
                <w:bCs w:val="false"/>
                <w:color w:val="000000"/>
              </w:rPr>
              <w:t xml:space="preserve">First page identifies the assigned judge and, where required, the hearing date/time/courtroom.</w:t>
            </w:r>
          </w:p>
        </w:tc>
      </w:tr>
    </w:tbl>
    <w:p>
      <w:pPr>
        <w:spacing w:after="140" w:line="276"/>
      </w:pPr>
      <w:r>
        <w:rPr>
          <w:b/>
          <w:bCs/>
        </w:rPr>
        <w:t xml:space="preserve">Other districts differ in detail. </w:t>
      </w:r>
      <w:r>
        <w:t xml:space="preserve">C.D. Cal. (Local Rule 11-3) similarly requires 28 numbered lines, but specifies left margin no less than 1 inch, page numbers centered at the bottom, and a footer; it also has page limits by motion type (L.R. 11-6). Always pull the specific district’s local rules and the judge’s standing order, which frequently override page limits and add chambers-copy and meet-and-confer requirements. Rule 11 of the FRCP requires the signer’s name, address, e-mail, and phone, and constitutes a certification of good-faith basis.</w:t>
      </w:r>
    </w:p>
    <w:p>
      <w:pPr>
        <w:pStyle w:val="Heading3"/>
      </w:pPr>
      <w:r>
        <w:t xml:space="preserve">Pleadings and motions in federal court</w:t>
      </w:r>
    </w:p>
    <w:p>
      <w:pPr>
        <w:spacing w:after="140" w:line="276"/>
      </w:pPr>
      <w:r>
        <w:t xml:space="preserve">Federal pleading follows FRCP 8 (short and plain statement), 10 (caption; claims in numbered paragraphs; separate counts), and 11 (signature/certification). A civil cover sheet (Form JS-44) accompanies a new complaint. Motions are filed through CM/ECF as text-searchable PDFs and typically comprise a notice of motion, a supporting memorandum (points and authorities), declarations with exhibits, and a proposed order; many judges require a separate statement of undisputed facts for summary judgment. Check the local rules for default briefing page limits (commonly 25 pages for an opening or opposition memo, 15 for a reply, absent a contrary standing order).</w:t>
      </w:r>
    </w:p>
    <w:p>
      <w:pPr>
        <w:pStyle w:val="Heading2"/>
      </w:pPr>
      <w:r>
        <w:t xml:space="preserve">Ninth Circuit — briefs (FRAP 28, 32; 9th Cir. R. 32-1)</w:t>
      </w:r>
    </w:p>
    <w:tbl>
      <w:tblPr>
        <w:tblW w:type="dxa" w:w="9360"/>
        <w:tblBorders>
          <w:top w:val="single" w:color="B4C6E7" w:sz="1"/>
          <w:left w:val="single" w:color="B4C6E7" w:sz="1"/>
          <w:bottom w:val="single" w:color="B4C6E7" w:sz="1"/>
          <w:right w:val="single" w:color="B4C6E7" w:sz="1"/>
          <w:insideH w:val="single" w:color="B4C6E7" w:sz="1"/>
          <w:insideV w:val="single" w:color="B4C6E7" w:sz="1"/>
        </w:tblBorders>
      </w:tblPr>
      <w:tblGrid>
        <w:gridCol w:w="2600"/>
        <w:gridCol w:w="6760"/>
      </w:tblGrid>
      <w:tr>
        <w:trPr>
          <w:tblHeader/>
        </w:trPr>
        <w:tc>
          <w:tcPr>
            <w:tcW w:type="dxa" w:w="2600"/>
            <w:shd w:fill="2E5496" w:val="clear"/>
            <w:tcMar>
              <w:top w:type="dxa" w:w="70"/>
              <w:left w:type="dxa" w:w="110"/>
              <w:bottom w:type="dxa" w:w="70"/>
              <w:right w:type="dxa" w:w="110"/>
            </w:tcMar>
            <w:vAlign w:val="center"/>
          </w:tcPr>
          <w:p>
            <w:pPr>
              <w:spacing w:after="0" w:line="252"/>
            </w:pPr>
            <w:r>
              <w:rPr>
                <w:b/>
                <w:bCs/>
                <w:color w:val="FFFFFF"/>
              </w:rPr>
              <w:t xml:space="preserve">Topic</w:t>
            </w:r>
          </w:p>
        </w:tc>
        <w:tc>
          <w:tcPr>
            <w:tcW w:type="dxa" w:w="6760"/>
            <w:shd w:fill="2E5496" w:val="clear"/>
            <w:tcMar>
              <w:top w:type="dxa" w:w="70"/>
              <w:left w:type="dxa" w:w="110"/>
              <w:bottom w:type="dxa" w:w="70"/>
              <w:right w:type="dxa" w:w="110"/>
            </w:tcMar>
            <w:vAlign w:val="center"/>
          </w:tcPr>
          <w:p>
            <w:pPr>
              <w:spacing w:after="0" w:line="252"/>
            </w:pPr>
            <w:r>
              <w:rPr>
                <w:b/>
                <w:bCs/>
                <w:color w:val="FFFFFF"/>
              </w:rPr>
              <w:t xml:space="preserve">Requirement</w:t>
            </w:r>
          </w:p>
        </w:tc>
      </w:tr>
      <w:tr>
        <w:tc>
          <w:tcPr>
            <w:tcW w:type="dxa" w:w="2600"/>
            <w:shd w:fill="FFFFFF" w:val="clear"/>
            <w:tcMar>
              <w:top w:type="dxa" w:w="70"/>
              <w:left w:type="dxa" w:w="110"/>
              <w:bottom w:type="dxa" w:w="70"/>
              <w:right w:type="dxa" w:w="110"/>
            </w:tcMar>
            <w:vAlign w:val="center"/>
          </w:tcPr>
          <w:p>
            <w:pPr>
              <w:spacing w:after="0" w:line="252"/>
            </w:pPr>
            <w:r>
              <w:rPr>
                <w:b w:val="false"/>
                <w:bCs w:val="false"/>
                <w:color w:val="000000"/>
              </w:rPr>
              <w:t xml:space="preserve">Font (proportional)</w:t>
            </w:r>
          </w:p>
        </w:tc>
        <w:tc>
          <w:tcPr>
            <w:tcW w:type="dxa" w:w="6760"/>
            <w:shd w:fill="FFFFFF" w:val="clear"/>
            <w:tcMar>
              <w:top w:type="dxa" w:w="70"/>
              <w:left w:type="dxa" w:w="110"/>
              <w:bottom w:type="dxa" w:w="70"/>
              <w:right w:type="dxa" w:w="110"/>
            </w:tcMar>
            <w:vAlign w:val="center"/>
          </w:tcPr>
          <w:p>
            <w:pPr>
              <w:spacing w:after="0" w:line="252"/>
            </w:pPr>
            <w:r>
              <w:rPr>
                <w:b w:val="false"/>
                <w:bCs w:val="false"/>
                <w:color w:val="000000"/>
              </w:rPr>
              <w:t xml:space="preserve">14-point or larger, serif typeface (e.g., Times New Roman); sans-serif allowed only in headings/captions.</w:t>
            </w:r>
          </w:p>
        </w:tc>
      </w:tr>
      <w:tr>
        <w:tc>
          <w:tcPr>
            <w:tcW w:type="dxa" w:w="2600"/>
            <w:shd w:fill="F2F2F2" w:val="clear"/>
            <w:tcMar>
              <w:top w:type="dxa" w:w="70"/>
              <w:left w:type="dxa" w:w="110"/>
              <w:bottom w:type="dxa" w:w="70"/>
              <w:right w:type="dxa" w:w="110"/>
            </w:tcMar>
            <w:vAlign w:val="center"/>
          </w:tcPr>
          <w:p>
            <w:pPr>
              <w:spacing w:after="0" w:line="252"/>
            </w:pPr>
            <w:r>
              <w:rPr>
                <w:b w:val="false"/>
                <w:bCs w:val="false"/>
                <w:color w:val="000000"/>
              </w:rPr>
              <w:t xml:space="preserve">Font (monospaced)</w:t>
            </w:r>
          </w:p>
        </w:tc>
        <w:tc>
          <w:tcPr>
            <w:tcW w:type="dxa" w:w="6760"/>
            <w:shd w:fill="F2F2F2" w:val="clear"/>
            <w:tcMar>
              <w:top w:type="dxa" w:w="70"/>
              <w:left w:type="dxa" w:w="110"/>
              <w:bottom w:type="dxa" w:w="70"/>
              <w:right w:type="dxa" w:w="110"/>
            </w:tcMar>
            <w:vAlign w:val="center"/>
          </w:tcPr>
          <w:p>
            <w:pPr>
              <w:spacing w:after="0" w:line="252"/>
            </w:pPr>
            <w:r>
              <w:rPr>
                <w:b w:val="false"/>
                <w:bCs w:val="false"/>
                <w:color w:val="000000"/>
              </w:rPr>
              <w:t xml:space="preserve">No more than 10½ characters per inch.</w:t>
            </w:r>
          </w:p>
        </w:tc>
      </w:tr>
      <w:tr>
        <w:tc>
          <w:tcPr>
            <w:tcW w:type="dxa" w:w="2600"/>
            <w:shd w:fill="FFFFFF" w:val="clear"/>
            <w:tcMar>
              <w:top w:type="dxa" w:w="70"/>
              <w:left w:type="dxa" w:w="110"/>
              <w:bottom w:type="dxa" w:w="70"/>
              <w:right w:type="dxa" w:w="110"/>
            </w:tcMar>
            <w:vAlign w:val="center"/>
          </w:tcPr>
          <w:p>
            <w:pPr>
              <w:spacing w:after="0" w:line="252"/>
            </w:pPr>
            <w:r>
              <w:rPr>
                <w:b w:val="false"/>
                <w:bCs w:val="false"/>
                <w:color w:val="000000"/>
              </w:rPr>
              <w:t xml:space="preserve">Length — principal brief</w:t>
            </w:r>
          </w:p>
        </w:tc>
        <w:tc>
          <w:tcPr>
            <w:tcW w:type="dxa" w:w="6760"/>
            <w:shd w:fill="FFFFFF" w:val="clear"/>
            <w:tcMar>
              <w:top w:type="dxa" w:w="70"/>
              <w:left w:type="dxa" w:w="110"/>
              <w:bottom w:type="dxa" w:w="70"/>
              <w:right w:type="dxa" w:w="110"/>
            </w:tcMar>
            <w:vAlign w:val="center"/>
          </w:tcPr>
          <w:p>
            <w:pPr>
              <w:spacing w:after="0" w:line="252"/>
            </w:pPr>
            <w:r>
              <w:rPr>
                <w:b w:val="false"/>
                <w:bCs w:val="false"/>
                <w:color w:val="000000"/>
              </w:rPr>
              <w:t xml:space="preserve">13,000 words (type-volume limit) for a proportionally spaced brief.</w:t>
            </w:r>
          </w:p>
        </w:tc>
      </w:tr>
      <w:tr>
        <w:tc>
          <w:tcPr>
            <w:tcW w:type="dxa" w:w="2600"/>
            <w:shd w:fill="F2F2F2" w:val="clear"/>
            <w:tcMar>
              <w:top w:type="dxa" w:w="70"/>
              <w:left w:type="dxa" w:w="110"/>
              <w:bottom w:type="dxa" w:w="70"/>
              <w:right w:type="dxa" w:w="110"/>
            </w:tcMar>
            <w:vAlign w:val="center"/>
          </w:tcPr>
          <w:p>
            <w:pPr>
              <w:spacing w:after="0" w:line="252"/>
            </w:pPr>
            <w:r>
              <w:rPr>
                <w:b w:val="false"/>
                <w:bCs w:val="false"/>
                <w:color w:val="000000"/>
              </w:rPr>
              <w:t xml:space="preserve">Length — reply brief</w:t>
            </w:r>
          </w:p>
        </w:tc>
        <w:tc>
          <w:tcPr>
            <w:tcW w:type="dxa" w:w="6760"/>
            <w:shd w:fill="F2F2F2" w:val="clear"/>
            <w:tcMar>
              <w:top w:type="dxa" w:w="70"/>
              <w:left w:type="dxa" w:w="110"/>
              <w:bottom w:type="dxa" w:w="70"/>
              <w:right w:type="dxa" w:w="110"/>
            </w:tcMar>
            <w:vAlign w:val="center"/>
          </w:tcPr>
          <w:p>
            <w:pPr>
              <w:spacing w:after="0" w:line="252"/>
            </w:pPr>
            <w:r>
              <w:rPr>
                <w:b w:val="false"/>
                <w:bCs w:val="false"/>
                <w:color w:val="000000"/>
              </w:rPr>
              <w:t xml:space="preserve">6,500 words.</w:t>
            </w:r>
          </w:p>
        </w:tc>
      </w:tr>
      <w:tr>
        <w:tc>
          <w:tcPr>
            <w:tcW w:type="dxa" w:w="2600"/>
            <w:shd w:fill="FFFFFF" w:val="clear"/>
            <w:tcMar>
              <w:top w:type="dxa" w:w="70"/>
              <w:left w:type="dxa" w:w="110"/>
              <w:bottom w:type="dxa" w:w="70"/>
              <w:right w:type="dxa" w:w="110"/>
            </w:tcMar>
            <w:vAlign w:val="center"/>
          </w:tcPr>
          <w:p>
            <w:pPr>
              <w:spacing w:after="0" w:line="252"/>
            </w:pPr>
            <w:r>
              <w:rPr>
                <w:b w:val="false"/>
                <w:bCs w:val="false"/>
                <w:color w:val="000000"/>
              </w:rPr>
              <w:t xml:space="preserve">Page alternative</w:t>
            </w:r>
          </w:p>
        </w:tc>
        <w:tc>
          <w:tcPr>
            <w:tcW w:type="dxa" w:w="6760"/>
            <w:shd w:fill="FFFFFF" w:val="clear"/>
            <w:tcMar>
              <w:top w:type="dxa" w:w="70"/>
              <w:left w:type="dxa" w:w="110"/>
              <w:bottom w:type="dxa" w:w="70"/>
              <w:right w:type="dxa" w:w="110"/>
            </w:tcMar>
            <w:vAlign w:val="center"/>
          </w:tcPr>
          <w:p>
            <w:pPr>
              <w:spacing w:after="0" w:line="252"/>
            </w:pPr>
            <w:r>
              <w:rPr>
                <w:b w:val="false"/>
                <w:bCs w:val="false"/>
                <w:color w:val="000000"/>
              </w:rPr>
              <w:t xml:space="preserve">30 pages principal / 15 pages reply if monospaced/typewritten.</w:t>
            </w:r>
          </w:p>
        </w:tc>
      </w:tr>
      <w:tr>
        <w:tc>
          <w:tcPr>
            <w:tcW w:type="dxa" w:w="2600"/>
            <w:shd w:fill="F2F2F2" w:val="clear"/>
            <w:tcMar>
              <w:top w:type="dxa" w:w="70"/>
              <w:left w:type="dxa" w:w="110"/>
              <w:bottom w:type="dxa" w:w="70"/>
              <w:right w:type="dxa" w:w="110"/>
            </w:tcMar>
            <w:vAlign w:val="center"/>
          </w:tcPr>
          <w:p>
            <w:pPr>
              <w:spacing w:after="0" w:line="252"/>
            </w:pPr>
            <w:r>
              <w:rPr>
                <w:b w:val="false"/>
                <w:bCs w:val="false"/>
                <w:color w:val="000000"/>
              </w:rPr>
              <w:t xml:space="preserve">Certificate of compliance</w:t>
            </w:r>
          </w:p>
        </w:tc>
        <w:tc>
          <w:tcPr>
            <w:tcW w:type="dxa" w:w="6760"/>
            <w:shd w:fill="F2F2F2" w:val="clear"/>
            <w:tcMar>
              <w:top w:type="dxa" w:w="70"/>
              <w:left w:type="dxa" w:w="110"/>
              <w:bottom w:type="dxa" w:w="70"/>
              <w:right w:type="dxa" w:w="110"/>
            </w:tcMar>
            <w:vAlign w:val="center"/>
          </w:tcPr>
          <w:p>
            <w:pPr>
              <w:spacing w:after="0" w:line="252"/>
            </w:pPr>
            <w:r>
              <w:rPr>
                <w:b w:val="false"/>
                <w:bCs w:val="false"/>
                <w:color w:val="000000"/>
              </w:rPr>
              <w:t xml:space="preserve">Required; counsel may rely on the word-processor’s word count (FRAP 32(g)).</w:t>
            </w:r>
          </w:p>
        </w:tc>
      </w:tr>
      <w:tr>
        <w:tc>
          <w:tcPr>
            <w:tcW w:type="dxa" w:w="2600"/>
            <w:shd w:fill="FFFFFF" w:val="clear"/>
            <w:tcMar>
              <w:top w:type="dxa" w:w="70"/>
              <w:left w:type="dxa" w:w="110"/>
              <w:bottom w:type="dxa" w:w="70"/>
              <w:right w:type="dxa" w:w="110"/>
            </w:tcMar>
            <w:vAlign w:val="center"/>
          </w:tcPr>
          <w:p>
            <w:pPr>
              <w:spacing w:after="0" w:line="252"/>
            </w:pPr>
            <w:r>
              <w:rPr>
                <w:b w:val="false"/>
                <w:bCs w:val="false"/>
                <w:color w:val="000000"/>
              </w:rPr>
              <w:t xml:space="preserve">Cover colors</w:t>
            </w:r>
          </w:p>
        </w:tc>
        <w:tc>
          <w:tcPr>
            <w:tcW w:type="dxa" w:w="6760"/>
            <w:shd w:fill="FFFFFF" w:val="clear"/>
            <w:tcMar>
              <w:top w:type="dxa" w:w="70"/>
              <w:left w:type="dxa" w:w="110"/>
              <w:bottom w:type="dxa" w:w="70"/>
              <w:right w:type="dxa" w:w="110"/>
            </w:tcMar>
            <w:vAlign w:val="center"/>
          </w:tcPr>
          <w:p>
            <w:pPr>
              <w:spacing w:after="0" w:line="252"/>
            </w:pPr>
            <w:r>
              <w:rPr>
                <w:b w:val="false"/>
                <w:bCs w:val="false"/>
                <w:color w:val="000000"/>
              </w:rPr>
              <w:t xml:space="preserve">Blue (appellant/opening), red (appellee), gray (intervenor/amicus), green (reply). Yellow for supplemental.</w:t>
            </w:r>
          </w:p>
        </w:tc>
      </w:tr>
      <w:tr>
        <w:tc>
          <w:tcPr>
            <w:tcW w:type="dxa" w:w="2600"/>
            <w:shd w:fill="F2F2F2" w:val="clear"/>
            <w:tcMar>
              <w:top w:type="dxa" w:w="70"/>
              <w:left w:type="dxa" w:w="110"/>
              <w:bottom w:type="dxa" w:w="70"/>
              <w:right w:type="dxa" w:w="110"/>
            </w:tcMar>
            <w:vAlign w:val="center"/>
          </w:tcPr>
          <w:p>
            <w:pPr>
              <w:spacing w:after="0" w:line="252"/>
            </w:pPr>
            <w:r>
              <w:rPr>
                <w:b w:val="false"/>
                <w:bCs w:val="false"/>
                <w:color w:val="000000"/>
              </w:rPr>
              <w:t xml:space="preserve">Contents</w:t>
            </w:r>
          </w:p>
        </w:tc>
        <w:tc>
          <w:tcPr>
            <w:tcW w:type="dxa" w:w="6760"/>
            <w:shd w:fill="F2F2F2" w:val="clear"/>
            <w:tcMar>
              <w:top w:type="dxa" w:w="70"/>
              <w:left w:type="dxa" w:w="110"/>
              <w:bottom w:type="dxa" w:w="70"/>
              <w:right w:type="dxa" w:w="110"/>
            </w:tcMar>
            <w:vAlign w:val="center"/>
          </w:tcPr>
          <w:p>
            <w:pPr>
              <w:spacing w:after="0" w:line="252"/>
            </w:pPr>
            <w:r>
              <w:rPr>
                <w:b w:val="false"/>
                <w:bCs w:val="false"/>
                <w:color w:val="000000"/>
              </w:rPr>
              <w:t xml:space="preserve">Per FRAP 28: corporate disclosure, tables, jurisdictional statement, issues, statement of the case, summary of argument, argument, conclusion, with record citations.</w:t>
            </w:r>
          </w:p>
        </w:tc>
      </w:tr>
    </w:tbl>
    <w:tbl>
      <w:tblPr>
        <w:tblW w:type="dxa" w:w="9360"/>
        <w:tblBorders>
          <w:top w:val="single" w:color="2E5496" w:sz="6"/>
          <w:left w:val="single" w:color="2E5496" w:sz="6"/>
          <w:bottom w:val="single" w:color="2E5496" w:sz="6"/>
          <w:right w:val="single" w:color="2E5496" w:sz="6"/>
          <w:insideH w:val="single" w:color="auto" w:sz="4"/>
          <w:insideV w:val="single" w:color="auto" w:sz="4"/>
        </w:tblBorders>
      </w:tblPr>
      <w:tblGrid>
        <w:gridCol w:w="9360"/>
      </w:tblGrid>
      <w:tr>
        <w:tc>
          <w:tcPr>
            <w:tcW w:type="dxa" w:w="9360"/>
            <w:shd w:fill="D9E2F3" w:val="clear"/>
            <w:tcMar>
              <w:top w:type="dxa" w:w="120"/>
              <w:left w:type="dxa" w:w="160"/>
              <w:bottom w:type="dxa" w:w="120"/>
              <w:right w:type="dxa" w:w="160"/>
            </w:tcMar>
          </w:tcPr>
          <w:p>
            <w:pPr>
              <w:spacing w:after="60"/>
            </w:pPr>
            <w:r>
              <w:rPr>
                <w:b/>
                <w:bCs/>
                <w:color w:val="1F3864"/>
              </w:rPr>
              <w:t xml:space="preserve">Federal vs. state — don’t mix them up</w:t>
            </w:r>
          </w:p>
          <w:p>
            <w:pPr>
              <w:spacing w:after="40" w:line="264"/>
            </w:pPr>
            <w:r>
              <w:t xml:space="preserve">State trial: </w:t>
            </w:r>
            <w:r>
              <w:t xml:space="preserve">line-numbered pleading paper, 12-pt, CRC controls.</w:t>
            </w:r>
          </w:p>
          <w:p>
            <w:pPr>
              <w:spacing w:after="40" w:line="264"/>
            </w:pPr>
            <w:r>
              <w:t xml:space="preserve">State appellate: </w:t>
            </w:r>
            <w:r>
              <w:t xml:space="preserve">no line numbers, 13-pt minimum, 14,000 words, color covers.</w:t>
            </w:r>
          </w:p>
          <w:p>
            <w:pPr>
              <w:spacing w:after="40" w:line="264"/>
            </w:pPr>
            <w:r>
              <w:t xml:space="preserve">Federal district: </w:t>
            </w:r>
            <w:r>
              <w:t xml:space="preserve">line-numbered (≤28 lines) under local rules, 12-pt, document-title footer, CM/ECF.</w:t>
            </w:r>
          </w:p>
          <w:p>
            <w:pPr>
              <w:spacing w:after="40" w:line="264"/>
            </w:pPr>
            <w:r>
              <w:t xml:space="preserve">Ninth Circuit: </w:t>
            </w:r>
            <w:r>
              <w:t xml:space="preserve">no line numbers, 14-pt serif, 13,000 words principal / 6,500 reply, FRAP cover colors.</w:t>
            </w:r>
          </w:p>
        </w:tc>
      </w:tr>
    </w:tbl>
    <w:p>
      <w:r>
        <w:br w:type="page"/>
      </w:r>
    </w:p>
    <w:p>
      <w:pPr>
        <w:pStyle w:val="Heading1"/>
      </w:pPr>
      <w:r>
        <w:t xml:space="preserve">Part V — California Administrative Bodies</w:t>
      </w:r>
    </w:p>
    <w:p>
      <w:pPr>
        <w:spacing w:after="140" w:line="276"/>
      </w:pPr>
      <w:r>
        <w:t xml:space="preserve">Administrative adjudication does not use the Rules of Court. Each agency operates under its own enabling statute and regulations (in the California Code of Regulations, “CCR”), and many follow the Administrative Procedure Act (Gov. Code § 11340 et seq.). Format is usually lighter than court pleading paper, but service, verification, and agency-specific cover sheets are strictly enforced. Below are the bodies you will meet most often.</w:t>
      </w:r>
    </w:p>
    <w:p>
      <w:pPr>
        <w:pStyle w:val="Heading2"/>
      </w:pPr>
      <w:r>
        <w:t xml:space="preserve">Office of Administrative Hearings (OAH)</w:t>
      </w:r>
    </w:p>
    <w:p>
      <w:pPr>
        <w:spacing w:after="140" w:line="276"/>
      </w:pPr>
      <w:r>
        <w:t xml:space="preserve">OAH provides administrative law judges for hearings across dozens of state agencies (professional licensing, special education, and general jurisdiction matters). The initiating pleading in a disciplinary matter is the Accusation; the respondent answers with a Notice of Defense within 15 days of service (Gov. Code §§ 11503–11506). Filing is generally electronic through OAH’s Secure File Transfer system; every document must include a proof of service on all parties, and parties are expected to redact confidential personal information from filings and exhibits. Consult Title 1, CCR, § 1000 et seq. for the General Jurisdiction Division’s procedural rules.</w:t>
      </w:r>
    </w:p>
    <w:p>
      <w:pPr>
        <w:pStyle w:val="Heading2"/>
      </w:pPr>
      <w:r>
        <w:t xml:space="preserve">Workers’ Compensation Appeals Board (WCAB)</w:t>
      </w:r>
    </w:p>
    <w:p>
      <w:pPr>
        <w:spacing w:after="140" w:line="276"/>
      </w:pPr>
      <w:r>
        <w:t xml:space="preserve">WCAB practice is governed by Title 8, CCR, § 10300 et seq. Pleadings, petitions, and briefs must be on 8½ × 11 paper, two-hole-punched at the top center, double-spaced (quotations may be single-spaced), and every document’s heading must show the injured worker’s name and the adjudication (ADJ) case number. Petitions and answers must be verified under penalty of perjury (CCR § 10510) and filed in EAMS with the required document cover sheet and separator sheet. A Petition for Reconsideration has its own timing and content rules (CCR § 10940 et seq.).</w:t>
      </w:r>
    </w:p>
    <w:p>
      <w:pPr>
        <w:pStyle w:val="Heading2"/>
      </w:pPr>
      <w:r>
        <w:t xml:space="preserve">Civil Rights Department (CRD, formerly DFEH) and the Labor Commissioner</w:t>
      </w:r>
    </w:p>
    <w:p>
      <w:pPr>
        <w:spacing w:after="140" w:line="276"/>
      </w:pPr>
      <w:r>
        <w:t xml:space="preserve">The Civil Rights Department handles FEHA discrimination, harassment, and retaliation complaints; intake is largely through CRD’s online portal, and a right-to-sue letter is the gateway to Superior Court. The Labor Commissioner (DLSE) adjudicates wage claims through the Berman hearing process: a worker files a claim form (DLSE Form 1) with supporting documentation; there is no pleading-paper requirement, but deadlines, service, and the appeal-to-Superior-Court timeline (a trial de novo within statutory limits) are strict.</w:t>
      </w:r>
    </w:p>
    <w:tbl>
      <w:tblPr>
        <w:tblW w:type="dxa" w:w="9360"/>
        <w:tblBorders>
          <w:top w:val="single" w:color="2E5496" w:sz="6"/>
          <w:left w:val="single" w:color="2E5496" w:sz="6"/>
          <w:bottom w:val="single" w:color="2E5496" w:sz="6"/>
          <w:right w:val="single" w:color="2E5496" w:sz="6"/>
          <w:insideH w:val="single" w:color="auto" w:sz="4"/>
          <w:insideV w:val="single" w:color="auto" w:sz="4"/>
        </w:tblBorders>
      </w:tblPr>
      <w:tblGrid>
        <w:gridCol w:w="9360"/>
      </w:tblGrid>
      <w:tr>
        <w:tc>
          <w:tcPr>
            <w:tcW w:type="dxa" w:w="9360"/>
            <w:shd w:fill="D9E2F3" w:val="clear"/>
            <w:tcMar>
              <w:top w:type="dxa" w:w="120"/>
              <w:left w:type="dxa" w:w="160"/>
              <w:bottom w:type="dxa" w:w="120"/>
              <w:right w:type="dxa" w:w="160"/>
            </w:tcMar>
          </w:tcPr>
          <w:p>
            <w:pPr>
              <w:spacing w:after="60"/>
            </w:pPr>
            <w:r>
              <w:rPr>
                <w:b/>
                <w:bCs/>
                <w:color w:val="1F3864"/>
              </w:rPr>
              <w:t xml:space="preserve">Administrative practice checklist</w:t>
            </w:r>
          </w:p>
          <w:p>
            <w:pPr>
              <w:spacing w:after="40" w:line="264"/>
            </w:pPr>
            <w:r>
              <w:t xml:space="preserve">Identify the controlling statute and the agency’s regulations in the CCR before drafting. Use the agency’s mandatory intake form if one exists. Verify the pleading if the regulation requires it. Always include a proof of service. Redact confidential personal information. Calendar the (often short) deadlines for answers, appeals, and petitions for reconsideration.</w:t>
            </w:r>
          </w:p>
        </w:tc>
      </w:tr>
    </w:tbl>
    <w:p>
      <w:r>
        <w:br w:type="page"/>
      </w:r>
    </w:p>
    <w:p>
      <w:pPr>
        <w:pStyle w:val="Heading1"/>
      </w:pPr>
      <w:r>
        <w:t xml:space="preserve">Part VI — Citation &amp; Legal Syntax</w:t>
      </w:r>
    </w:p>
    <w:p>
      <w:pPr>
        <w:pStyle w:val="Heading2"/>
      </w:pPr>
      <w:r>
        <w:t xml:space="preserve">Which citation system? (CRC 1.200)</w:t>
      </w:r>
    </w:p>
    <w:p>
      <w:pPr>
        <w:spacing w:after="140" w:line="276"/>
      </w:pPr>
      <w:r>
        <w:t xml:space="preserve">California courts accept citations in the style of either the California Style Manual (the courts’ traditional system, published by the Supreme Court) or The Bluebook — but you must use one consistently throughout a document (CRC 1.200). Federal courts and most law reviews use The Bluebook. Pick the system your forum and supervisor expect, and do not blend the two.</w:t>
      </w:r>
    </w:p>
    <w:p>
      <w:pPr>
        <w:pStyle w:val="Heading2"/>
      </w:pPr>
      <w:r>
        <w:t xml:space="preserve">Core California citation forms</w:t>
      </w:r>
    </w:p>
    <w:tbl>
      <w:tblPr>
        <w:tblW w:type="dxa" w:w="9360"/>
        <w:tblBorders>
          <w:top w:val="single" w:color="B4C6E7" w:sz="1"/>
          <w:left w:val="single" w:color="B4C6E7" w:sz="1"/>
          <w:bottom w:val="single" w:color="B4C6E7" w:sz="1"/>
          <w:right w:val="single" w:color="B4C6E7" w:sz="1"/>
          <w:insideH w:val="single" w:color="B4C6E7" w:sz="1"/>
          <w:insideV w:val="single" w:color="B4C6E7" w:sz="1"/>
        </w:tblBorders>
      </w:tblPr>
      <w:tblGrid>
        <w:gridCol w:w="3000"/>
        <w:gridCol w:w="6360"/>
      </w:tblGrid>
      <w:tr>
        <w:trPr>
          <w:tblHeader/>
        </w:trPr>
        <w:tc>
          <w:tcPr>
            <w:tcW w:type="dxa" w:w="3000"/>
            <w:shd w:fill="2E5496" w:val="clear"/>
            <w:tcMar>
              <w:top w:type="dxa" w:w="70"/>
              <w:left w:type="dxa" w:w="110"/>
              <w:bottom w:type="dxa" w:w="70"/>
              <w:right w:type="dxa" w:w="110"/>
            </w:tcMar>
            <w:vAlign w:val="center"/>
          </w:tcPr>
          <w:p>
            <w:pPr>
              <w:spacing w:after="0" w:line="252"/>
            </w:pPr>
            <w:r>
              <w:rPr>
                <w:b/>
                <w:bCs/>
                <w:color w:val="FFFFFF"/>
              </w:rPr>
              <w:t xml:space="preserve">Source</w:t>
            </w:r>
          </w:p>
        </w:tc>
        <w:tc>
          <w:tcPr>
            <w:tcW w:type="dxa" w:w="6360"/>
            <w:shd w:fill="2E5496" w:val="clear"/>
            <w:tcMar>
              <w:top w:type="dxa" w:w="70"/>
              <w:left w:type="dxa" w:w="110"/>
              <w:bottom w:type="dxa" w:w="70"/>
              <w:right w:type="dxa" w:w="110"/>
            </w:tcMar>
            <w:vAlign w:val="center"/>
          </w:tcPr>
          <w:p>
            <w:pPr>
              <w:spacing w:after="0" w:line="252"/>
            </w:pPr>
            <w:r>
              <w:rPr>
                <w:b/>
                <w:bCs/>
                <w:color w:val="FFFFFF"/>
              </w:rPr>
              <w:t xml:space="preserve">California Style Manual form (example)</w:t>
            </w:r>
          </w:p>
        </w:tc>
      </w:tr>
      <w:tr>
        <w:tc>
          <w:tcPr>
            <w:tcW w:type="dxa" w:w="3000"/>
            <w:shd w:fill="FFFFFF" w:val="clear"/>
            <w:tcMar>
              <w:top w:type="dxa" w:w="70"/>
              <w:left w:type="dxa" w:w="110"/>
              <w:bottom w:type="dxa" w:w="70"/>
              <w:right w:type="dxa" w:w="110"/>
            </w:tcMar>
            <w:vAlign w:val="center"/>
          </w:tcPr>
          <w:p>
            <w:pPr>
              <w:spacing w:after="0" w:line="252"/>
            </w:pPr>
            <w:r>
              <w:rPr>
                <w:b w:val="false"/>
                <w:bCs w:val="false"/>
                <w:color w:val="000000"/>
              </w:rPr>
              <w:t xml:space="preserve">Published Cal. Supreme Court case</w:t>
            </w:r>
          </w:p>
        </w:tc>
        <w:tc>
          <w:tcPr>
            <w:tcW w:type="dxa" w:w="6360"/>
            <w:shd w:fill="FFFFFF" w:val="clear"/>
            <w:tcMar>
              <w:top w:type="dxa" w:w="70"/>
              <w:left w:type="dxa" w:w="110"/>
              <w:bottom w:type="dxa" w:w="70"/>
              <w:right w:type="dxa" w:w="110"/>
            </w:tcMar>
            <w:vAlign w:val="center"/>
          </w:tcPr>
          <w:p>
            <w:pPr>
              <w:spacing w:after="0" w:line="252"/>
            </w:pPr>
            <w:r>
              <w:rPr>
                <w:b w:val="false"/>
                <w:bCs w:val="false"/>
                <w:color w:val="000000"/>
              </w:rPr>
              <w:t xml:space="preserve">People v. Brown (2016) 61 Cal.4th 968, 974.</w:t>
            </w:r>
          </w:p>
        </w:tc>
      </w:tr>
      <w:tr>
        <w:tc>
          <w:tcPr>
            <w:tcW w:type="dxa" w:w="3000"/>
            <w:shd w:fill="F2F2F2" w:val="clear"/>
            <w:tcMar>
              <w:top w:type="dxa" w:w="70"/>
              <w:left w:type="dxa" w:w="110"/>
              <w:bottom w:type="dxa" w:w="70"/>
              <w:right w:type="dxa" w:w="110"/>
            </w:tcMar>
            <w:vAlign w:val="center"/>
          </w:tcPr>
          <w:p>
            <w:pPr>
              <w:spacing w:after="0" w:line="252"/>
            </w:pPr>
            <w:r>
              <w:rPr>
                <w:b w:val="false"/>
                <w:bCs w:val="false"/>
                <w:color w:val="000000"/>
              </w:rPr>
              <w:t xml:space="preserve">Published Court of Appeal case</w:t>
            </w:r>
          </w:p>
        </w:tc>
        <w:tc>
          <w:tcPr>
            <w:tcW w:type="dxa" w:w="6360"/>
            <w:shd w:fill="F2F2F2" w:val="clear"/>
            <w:tcMar>
              <w:top w:type="dxa" w:w="70"/>
              <w:left w:type="dxa" w:w="110"/>
              <w:bottom w:type="dxa" w:w="70"/>
              <w:right w:type="dxa" w:w="110"/>
            </w:tcMar>
            <w:vAlign w:val="center"/>
          </w:tcPr>
          <w:p>
            <w:pPr>
              <w:spacing w:after="0" w:line="252"/>
            </w:pPr>
            <w:r>
              <w:rPr>
                <w:b w:val="false"/>
                <w:bCs w:val="false"/>
                <w:color w:val="000000"/>
              </w:rPr>
              <w:t xml:space="preserve">Smith v. Jones (2019) 35 Cal.App.5th 1123, 1130.</w:t>
            </w:r>
          </w:p>
        </w:tc>
      </w:tr>
      <w:tr>
        <w:tc>
          <w:tcPr>
            <w:tcW w:type="dxa" w:w="3000"/>
            <w:shd w:fill="FFFFFF" w:val="clear"/>
            <w:tcMar>
              <w:top w:type="dxa" w:w="70"/>
              <w:left w:type="dxa" w:w="110"/>
              <w:bottom w:type="dxa" w:w="70"/>
              <w:right w:type="dxa" w:w="110"/>
            </w:tcMar>
            <w:vAlign w:val="center"/>
          </w:tcPr>
          <w:p>
            <w:pPr>
              <w:spacing w:after="0" w:line="252"/>
            </w:pPr>
            <w:r>
              <w:rPr>
                <w:b w:val="false"/>
                <w:bCs w:val="false"/>
                <w:color w:val="000000"/>
              </w:rPr>
              <w:t xml:space="preserve">California statute</w:t>
            </w:r>
          </w:p>
        </w:tc>
        <w:tc>
          <w:tcPr>
            <w:tcW w:type="dxa" w:w="6360"/>
            <w:shd w:fill="FFFFFF" w:val="clear"/>
            <w:tcMar>
              <w:top w:type="dxa" w:w="70"/>
              <w:left w:type="dxa" w:w="110"/>
              <w:bottom w:type="dxa" w:w="70"/>
              <w:right w:type="dxa" w:w="110"/>
            </w:tcMar>
            <w:vAlign w:val="center"/>
          </w:tcPr>
          <w:p>
            <w:pPr>
              <w:spacing w:after="0" w:line="252"/>
            </w:pPr>
            <w:r>
              <w:rPr>
                <w:b w:val="false"/>
                <w:bCs w:val="false"/>
                <w:color w:val="000000"/>
              </w:rPr>
              <w:t xml:space="preserve">Code Civ. Proc., § 437c, subd. (c).</w:t>
            </w:r>
          </w:p>
        </w:tc>
      </w:tr>
      <w:tr>
        <w:tc>
          <w:tcPr>
            <w:tcW w:type="dxa" w:w="3000"/>
            <w:shd w:fill="F2F2F2" w:val="clear"/>
            <w:tcMar>
              <w:top w:type="dxa" w:w="70"/>
              <w:left w:type="dxa" w:w="110"/>
              <w:bottom w:type="dxa" w:w="70"/>
              <w:right w:type="dxa" w:w="110"/>
            </w:tcMar>
            <w:vAlign w:val="center"/>
          </w:tcPr>
          <w:p>
            <w:pPr>
              <w:spacing w:after="0" w:line="252"/>
            </w:pPr>
            <w:r>
              <w:rPr>
                <w:b w:val="false"/>
                <w:bCs w:val="false"/>
                <w:color w:val="000000"/>
              </w:rPr>
              <w:t xml:space="preserve">California Rule of Court</w:t>
            </w:r>
          </w:p>
        </w:tc>
        <w:tc>
          <w:tcPr>
            <w:tcW w:type="dxa" w:w="6360"/>
            <w:shd w:fill="F2F2F2" w:val="clear"/>
            <w:tcMar>
              <w:top w:type="dxa" w:w="70"/>
              <w:left w:type="dxa" w:w="110"/>
              <w:bottom w:type="dxa" w:w="70"/>
              <w:right w:type="dxa" w:w="110"/>
            </w:tcMar>
            <w:vAlign w:val="center"/>
          </w:tcPr>
          <w:p>
            <w:pPr>
              <w:spacing w:after="0" w:line="252"/>
            </w:pPr>
            <w:r>
              <w:rPr>
                <w:b w:val="false"/>
                <w:bCs w:val="false"/>
                <w:color w:val="000000"/>
              </w:rPr>
              <w:t xml:space="preserve">Cal. Rules of Court, rule 3.1350.</w:t>
            </w:r>
          </w:p>
        </w:tc>
      </w:tr>
      <w:tr>
        <w:tc>
          <w:tcPr>
            <w:tcW w:type="dxa" w:w="3000"/>
            <w:shd w:fill="FFFFFF" w:val="clear"/>
            <w:tcMar>
              <w:top w:type="dxa" w:w="70"/>
              <w:left w:type="dxa" w:w="110"/>
              <w:bottom w:type="dxa" w:w="70"/>
              <w:right w:type="dxa" w:w="110"/>
            </w:tcMar>
            <w:vAlign w:val="center"/>
          </w:tcPr>
          <w:p>
            <w:pPr>
              <w:spacing w:after="0" w:line="252"/>
            </w:pPr>
            <w:r>
              <w:rPr>
                <w:b w:val="false"/>
                <w:bCs w:val="false"/>
                <w:color w:val="000000"/>
              </w:rPr>
              <w:t xml:space="preserve">Regulation</w:t>
            </w:r>
          </w:p>
        </w:tc>
        <w:tc>
          <w:tcPr>
            <w:tcW w:type="dxa" w:w="6360"/>
            <w:shd w:fill="FFFFFF" w:val="clear"/>
            <w:tcMar>
              <w:top w:type="dxa" w:w="70"/>
              <w:left w:type="dxa" w:w="110"/>
              <w:bottom w:type="dxa" w:w="70"/>
              <w:right w:type="dxa" w:w="110"/>
            </w:tcMar>
            <w:vAlign w:val="center"/>
          </w:tcPr>
          <w:p>
            <w:pPr>
              <w:spacing w:after="0" w:line="252"/>
            </w:pPr>
            <w:r>
              <w:rPr>
                <w:b w:val="false"/>
                <w:bCs w:val="false"/>
                <w:color w:val="000000"/>
              </w:rPr>
              <w:t xml:space="preserve">Cal. Code Regs., tit. 8, § 10510.</w:t>
            </w:r>
          </w:p>
        </w:tc>
      </w:tr>
      <w:tr>
        <w:tc>
          <w:tcPr>
            <w:tcW w:type="dxa" w:w="3000"/>
            <w:shd w:fill="F2F2F2" w:val="clear"/>
            <w:tcMar>
              <w:top w:type="dxa" w:w="70"/>
              <w:left w:type="dxa" w:w="110"/>
              <w:bottom w:type="dxa" w:w="70"/>
              <w:right w:type="dxa" w:w="110"/>
            </w:tcMar>
            <w:vAlign w:val="center"/>
          </w:tcPr>
          <w:p>
            <w:pPr>
              <w:spacing w:after="0" w:line="252"/>
            </w:pPr>
            <w:r>
              <w:rPr>
                <w:b w:val="false"/>
                <w:bCs w:val="false"/>
                <w:color w:val="000000"/>
              </w:rPr>
              <w:t xml:space="preserve">U.S. Supreme Court case</w:t>
            </w:r>
          </w:p>
        </w:tc>
        <w:tc>
          <w:tcPr>
            <w:tcW w:type="dxa" w:w="6360"/>
            <w:shd w:fill="F2F2F2" w:val="clear"/>
            <w:tcMar>
              <w:top w:type="dxa" w:w="70"/>
              <w:left w:type="dxa" w:w="110"/>
              <w:bottom w:type="dxa" w:w="70"/>
              <w:right w:type="dxa" w:w="110"/>
            </w:tcMar>
            <w:vAlign w:val="center"/>
          </w:tcPr>
          <w:p>
            <w:pPr>
              <w:spacing w:after="0" w:line="252"/>
            </w:pPr>
            <w:r>
              <w:rPr>
                <w:b w:val="false"/>
                <w:bCs w:val="false"/>
                <w:color w:val="000000"/>
              </w:rPr>
              <w:t xml:space="preserve">Ashcroft v. Iqbal (2009) 556 U.S. 662, 678.</w:t>
            </w:r>
          </w:p>
        </w:tc>
      </w:tr>
      <w:tr>
        <w:tc>
          <w:tcPr>
            <w:tcW w:type="dxa" w:w="3000"/>
            <w:shd w:fill="FFFFFF" w:val="clear"/>
            <w:tcMar>
              <w:top w:type="dxa" w:w="70"/>
              <w:left w:type="dxa" w:w="110"/>
              <w:bottom w:type="dxa" w:w="70"/>
              <w:right w:type="dxa" w:w="110"/>
            </w:tcMar>
            <w:vAlign w:val="center"/>
          </w:tcPr>
          <w:p>
            <w:pPr>
              <w:spacing w:after="0" w:line="252"/>
            </w:pPr>
            <w:r>
              <w:rPr>
                <w:b w:val="false"/>
                <w:bCs w:val="false"/>
                <w:color w:val="000000"/>
              </w:rPr>
              <w:t xml:space="preserve">Pinpoint / record cite (appeal)</w:t>
            </w:r>
          </w:p>
        </w:tc>
        <w:tc>
          <w:tcPr>
            <w:tcW w:type="dxa" w:w="6360"/>
            <w:shd w:fill="FFFFFF" w:val="clear"/>
            <w:tcMar>
              <w:top w:type="dxa" w:w="70"/>
              <w:left w:type="dxa" w:w="110"/>
              <w:bottom w:type="dxa" w:w="70"/>
              <w:right w:type="dxa" w:w="110"/>
            </w:tcMar>
            <w:vAlign w:val="center"/>
          </w:tcPr>
          <w:p>
            <w:pPr>
              <w:spacing w:after="0" w:line="252"/>
            </w:pPr>
            <w:r>
              <w:rPr>
                <w:b w:val="false"/>
                <w:bCs w:val="false"/>
                <w:color w:val="000000"/>
              </w:rPr>
              <w:t xml:space="preserve">(2 CT 145); (3 RT 512:6–19).</w:t>
            </w:r>
          </w:p>
        </w:tc>
      </w:tr>
    </w:tbl>
    <w:p>
      <w:pPr>
        <w:spacing w:after="140" w:line="276"/>
      </w:pPr>
      <w:r>
        <w:rPr>
          <w:b/>
          <w:bCs/>
        </w:rPr>
        <w:t xml:space="preserve">Bluebook differences to note: </w:t>
      </w:r>
      <w:r>
        <w:t xml:space="preserve">Bluebook places the date at the end of the parenthetical only for the year-of-decision and uses different reporter abbreviations and ordering (e.g., “People v. Brown, 61 Cal. 4th 968, 974 (2016).”). Statutory cites become “Cal. Civ. Proc. Code § 437c.” Again — consistency within a document is the rule.</w:t>
      </w:r>
    </w:p>
    <w:p>
      <w:pPr>
        <w:pStyle w:val="Heading2"/>
      </w:pPr>
      <w:r>
        <w:t xml:space="preserve">Quotations, signals, and numbers</w:t>
      </w:r>
    </w:p>
    <w:p>
      <w:pPr>
        <w:pStyle w:val="ListParagraph"/>
        <w:numPr>
          <w:ilvl w:val="0"/>
          <w:numId w:val="4"/>
        </w:numPr>
        <w:spacing w:after="60" w:line="270"/>
      </w:pPr>
      <w:r>
        <w:rPr>
          <w:b/>
          <w:bCs/>
        </w:rPr>
        <w:t xml:space="preserve">Block quotations: </w:t>
      </w:r>
      <w:r>
        <w:t xml:space="preserve">set off and indent any quotation of 50 words or more; it may be single-spaced (CRC 2.108, 8.204). Shorter quotations run in text with quotation marks.</w:t>
      </w:r>
    </w:p>
    <w:p>
      <w:pPr>
        <w:pStyle w:val="ListParagraph"/>
        <w:numPr>
          <w:ilvl w:val="0"/>
          <w:numId w:val="4"/>
        </w:numPr>
        <w:spacing w:after="60" w:line="270"/>
      </w:pPr>
      <w:r>
        <w:rPr>
          <w:b/>
          <w:bCs/>
        </w:rPr>
        <w:t xml:space="preserve">Introductory signals: </w:t>
      </w:r>
      <w:r>
        <w:t xml:space="preserve">use “see,” “see also,” “e.g.,” “cf.,” “compare … with,” “but see,” and “accord” to show the relationship between the cited authority and your point.</w:t>
      </w:r>
    </w:p>
    <w:p>
      <w:pPr>
        <w:pStyle w:val="ListParagraph"/>
        <w:numPr>
          <w:ilvl w:val="0"/>
          <w:numId w:val="4"/>
        </w:numPr>
        <w:spacing w:after="60" w:line="270"/>
      </w:pPr>
      <w:r>
        <w:rPr>
          <w:b/>
          <w:bCs/>
        </w:rPr>
        <w:t xml:space="preserve">Pincites: </w:t>
      </w:r>
      <w:r>
        <w:t xml:space="preserve">always give the exact page (and where useful, line) for a proposition; a string cite without pincites is rarely persuasive.</w:t>
      </w:r>
    </w:p>
    <w:p>
      <w:pPr>
        <w:pStyle w:val="ListParagraph"/>
        <w:numPr>
          <w:ilvl w:val="0"/>
          <w:numId w:val="4"/>
        </w:numPr>
        <w:spacing w:after="60" w:line="270"/>
      </w:pPr>
      <w:r>
        <w:rPr>
          <w:b/>
          <w:bCs/>
        </w:rPr>
        <w:t xml:space="preserve">Numbers: </w:t>
      </w:r>
      <w:r>
        <w:t xml:space="preserve">conventionally spell out zero through nine (or one through ninety-nine in many style guides) and use numerals above; be consistent.</w:t>
      </w:r>
    </w:p>
    <w:p>
      <w:pPr>
        <w:pStyle w:val="ListParagraph"/>
        <w:numPr>
          <w:ilvl w:val="0"/>
          <w:numId w:val="4"/>
        </w:numPr>
        <w:spacing w:after="60" w:line="270"/>
      </w:pPr>
      <w:r>
        <w:rPr>
          <w:b/>
          <w:bCs/>
        </w:rPr>
        <w:t xml:space="preserve">Id. and supra: </w:t>
      </w:r>
      <w:r>
        <w:t xml:space="preserve">use “id.” for an immediately preceding single authority and “supra” for an earlier-cited authority, per your chosen system.</w:t>
      </w:r>
    </w:p>
    <w:p>
      <w:pPr>
        <w:pStyle w:val="Heading2"/>
      </w:pPr>
      <w:r>
        <w:t xml:space="preserve">Legal-writing syntax that reads as professional</w:t>
      </w:r>
    </w:p>
    <w:p>
      <w:pPr>
        <w:spacing w:after="140" w:line="276"/>
      </w:pPr>
      <w:r>
        <w:t xml:space="preserve">Beyond mechanics, the syntax of strong legal writing is consistent. Lead with the conclusion, then support it. Prefer short, active-voice sentences and the present tense for stating rules. Define a party or term once (“Blajon Lux (“Plaintiff”)”) and use that defined term thereafter. Use IRAC/CRAC within each argument — state the issue or conclusion, the rule, the application, and the conclusion. Make point headings full sentences that state the conclusion you want the reader to reach. Avoid legalese and redundant doublets (“null and void,” “each and every”); one precise word beats two vague ones.</w:t>
      </w:r>
    </w:p>
    <w:p>
      <w:r>
        <w:br w:type="page"/>
      </w:r>
    </w:p>
    <w:p>
      <w:pPr>
        <w:pStyle w:val="Heading1"/>
      </w:pPr>
      <w:r>
        <w:t xml:space="preserve">Part VII — Pre-Filing Checklist (All Forums)</w:t>
      </w:r>
    </w:p>
    <w:p>
      <w:pPr>
        <w:spacing w:after="140" w:line="276"/>
      </w:pPr>
      <w:r>
        <w:t xml:space="preserve">Run this list against any document before it leaves your desk. Cross-check each item against the specific forum’s rule — the parenthetical points you to the part of this guide that governs.</w:t>
      </w:r>
    </w:p>
    <w:p>
      <w:pPr>
        <w:pStyle w:val="ListParagraph"/>
        <w:numPr>
          <w:ilvl w:val="0"/>
          <w:numId w:val="5"/>
        </w:numPr>
        <w:spacing w:after="60" w:line="270"/>
      </w:pPr>
      <w:r>
        <w:t xml:space="preserve">Correct forum format applied (pleading paper for trial/district; brief format for appellate). (Parts II–IV)</w:t>
      </w:r>
    </w:p>
    <w:p>
      <w:pPr>
        <w:pStyle w:val="ListParagraph"/>
        <w:numPr>
          <w:ilvl w:val="0"/>
          <w:numId w:val="5"/>
        </w:numPr>
        <w:spacing w:after="60" w:line="270"/>
      </w:pPr>
      <w:r>
        <w:t xml:space="preserve">Caption complete: court, parties, case number, document title, counsel block with bar number, e-mail, and party represented. (Parts II, IV)</w:t>
      </w:r>
    </w:p>
    <w:p>
      <w:pPr>
        <w:pStyle w:val="ListParagraph"/>
        <w:numPr>
          <w:ilvl w:val="0"/>
          <w:numId w:val="5"/>
        </w:numPr>
        <w:spacing w:after="60" w:line="270"/>
      </w:pPr>
      <w:r>
        <w:t xml:space="preserve">Font and size compliant (12-pt trial/district; 13-pt Cal. appellate; 14-pt Ninth Circuit; approved typeface). (Parts II–IV)</w:t>
      </w:r>
    </w:p>
    <w:p>
      <w:pPr>
        <w:pStyle w:val="ListParagraph"/>
        <w:numPr>
          <w:ilvl w:val="0"/>
          <w:numId w:val="5"/>
        </w:numPr>
        <w:spacing w:after="60" w:line="270"/>
      </w:pPr>
      <w:r>
        <w:t xml:space="preserve">Line spacing and line numbering correct; ≤28 lines/page where required. (CRC 2.108; local rules)</w:t>
      </w:r>
    </w:p>
    <w:p>
      <w:pPr>
        <w:pStyle w:val="ListParagraph"/>
        <w:numPr>
          <w:ilvl w:val="0"/>
          <w:numId w:val="5"/>
        </w:numPr>
        <w:spacing w:after="60" w:line="270"/>
      </w:pPr>
      <w:r>
        <w:t xml:space="preserve">Page numbers and document-title footer present on every page. (CRC 2.109–2.110; local rules)</w:t>
      </w:r>
    </w:p>
    <w:p>
      <w:pPr>
        <w:pStyle w:val="ListParagraph"/>
        <w:numPr>
          <w:ilvl w:val="0"/>
          <w:numId w:val="5"/>
        </w:numPr>
        <w:spacing w:after="60" w:line="270"/>
      </w:pPr>
      <w:r>
        <w:t xml:space="preserve">Each cause of action / claim separately stated and numbered. (CRC 2.112; FRCP 10)</w:t>
      </w:r>
    </w:p>
    <w:p>
      <w:pPr>
        <w:pStyle w:val="ListParagraph"/>
        <w:numPr>
          <w:ilvl w:val="0"/>
          <w:numId w:val="5"/>
        </w:numPr>
        <w:spacing w:after="60" w:line="270"/>
      </w:pPr>
      <w:r>
        <w:t xml:space="preserve">Length within the limit; word-count or type-volume certificate attached where required. (CRC 8.204; FRAP 32)</w:t>
      </w:r>
    </w:p>
    <w:p>
      <w:pPr>
        <w:pStyle w:val="ListParagraph"/>
        <w:numPr>
          <w:ilvl w:val="0"/>
          <w:numId w:val="5"/>
        </w:numPr>
        <w:spacing w:after="60" w:line="270"/>
      </w:pPr>
      <w:r>
        <w:t xml:space="preserve">All facts cite the record (appellate) or supporting declaration/exhibit (trial). (Parts II–III)</w:t>
      </w:r>
    </w:p>
    <w:p>
      <w:pPr>
        <w:pStyle w:val="ListParagraph"/>
        <w:numPr>
          <w:ilvl w:val="0"/>
          <w:numId w:val="5"/>
        </w:numPr>
        <w:spacing w:after="60" w:line="270"/>
      </w:pPr>
      <w:r>
        <w:t xml:space="preserve">Citations in one consistent system (Cal. Style Manual or Bluebook). (CRC 1.200; Part VI)</w:t>
      </w:r>
    </w:p>
    <w:p>
      <w:pPr>
        <w:pStyle w:val="ListParagraph"/>
        <w:numPr>
          <w:ilvl w:val="0"/>
          <w:numId w:val="5"/>
        </w:numPr>
        <w:spacing w:after="60" w:line="270"/>
      </w:pPr>
      <w:r>
        <w:t xml:space="preserve">Verification / penalty-of-perjury clause where required (verified pleadings; declarations; WCAB/OAH). (Parts II, V)</w:t>
      </w:r>
    </w:p>
    <w:p>
      <w:pPr>
        <w:pStyle w:val="ListParagraph"/>
        <w:numPr>
          <w:ilvl w:val="0"/>
          <w:numId w:val="5"/>
        </w:numPr>
        <w:spacing w:after="60" w:line="270"/>
      </w:pPr>
      <w:r>
        <w:t xml:space="preserve">Proof of service prepared and attached; correct method and parties. (Parts II, V)</w:t>
      </w:r>
    </w:p>
    <w:p>
      <w:pPr>
        <w:pStyle w:val="ListParagraph"/>
        <w:numPr>
          <w:ilvl w:val="0"/>
          <w:numId w:val="5"/>
        </w:numPr>
        <w:spacing w:after="60" w:line="270"/>
      </w:pPr>
      <w:r>
        <w:t xml:space="preserve">Mandatory Judicial Council / agency forms or cover sheets included. (Parts II, V)</w:t>
      </w:r>
    </w:p>
    <w:p>
      <w:pPr>
        <w:pStyle w:val="ListParagraph"/>
        <w:numPr>
          <w:ilvl w:val="0"/>
          <w:numId w:val="5"/>
        </w:numPr>
        <w:spacing w:after="60" w:line="270"/>
      </w:pPr>
      <w:r>
        <w:t xml:space="preserve">E-filing specs met: flattened, text-searchable, bookmarked PDF within size limits. (Part I)</w:t>
      </w:r>
    </w:p>
    <w:p>
      <w:pPr>
        <w:pStyle w:val="ListParagraph"/>
        <w:numPr>
          <w:ilvl w:val="0"/>
          <w:numId w:val="5"/>
        </w:numPr>
        <w:spacing w:after="60" w:line="270"/>
      </w:pPr>
      <w:r>
        <w:t xml:space="preserve">Judge’s standing order and local rules checked for overrides. (Part I)</w:t>
      </w:r>
    </w:p>
    <w:p>
      <w:pPr>
        <w:spacing w:after="160"/>
      </w:pPr>
    </w:p>
    <w:p>
      <w:pPr>
        <w:pStyle w:val="Heading2"/>
      </w:pPr>
      <w:r>
        <w:t xml:space="preserve">Sources &amp; where to verify</w:t>
      </w:r>
    </w:p>
    <w:p>
      <w:pPr>
        <w:spacing w:after="140" w:line="276"/>
      </w:pPr>
      <w:r>
        <w:t xml:space="preserve">Verify every rule against the official source before relying on it; the figures here reflect the rules in effect for the 2024–2026 cycle and change periodically.</w:t>
      </w:r>
    </w:p>
    <w:p>
      <w:pPr>
        <w:pStyle w:val="ListParagraph"/>
        <w:numPr>
          <w:ilvl w:val="0"/>
          <w:numId w:val="4"/>
        </w:numPr>
        <w:spacing w:after="60" w:line="270"/>
      </w:pPr>
      <w:r>
        <w:t xml:space="preserve">California Rules of Court (Title 2 form-of-papers; Title 8 appellate) — courts.ca.gov/rules.</w:t>
      </w:r>
    </w:p>
    <w:p>
      <w:pPr>
        <w:pStyle w:val="ListParagraph"/>
        <w:numPr>
          <w:ilvl w:val="0"/>
          <w:numId w:val="4"/>
        </w:numPr>
        <w:spacing w:after="60" w:line="270"/>
      </w:pPr>
      <w:r>
        <w:t xml:space="preserve">Code of Civil Procedure — leginfo.legislature.ca.gov.</w:t>
      </w:r>
    </w:p>
    <w:p>
      <w:pPr>
        <w:pStyle w:val="ListParagraph"/>
        <w:numPr>
          <w:ilvl w:val="0"/>
          <w:numId w:val="4"/>
        </w:numPr>
        <w:spacing w:after="60" w:line="270"/>
      </w:pPr>
      <w:r>
        <w:t xml:space="preserve">N.D. Cal. Civil Local Rules (and C.D./E.D./S.D. Cal. local rules) — each district court’s website.</w:t>
      </w:r>
    </w:p>
    <w:p>
      <w:pPr>
        <w:pStyle w:val="ListParagraph"/>
        <w:numPr>
          <w:ilvl w:val="0"/>
          <w:numId w:val="4"/>
        </w:numPr>
        <w:spacing w:after="60" w:line="270"/>
      </w:pPr>
      <w:r>
        <w:t xml:space="preserve">Federal Rules of Civil Procedure and Appellate Procedure; Ninth Circuit Rules — uscourts.gov; ca9.uscourts.gov.</w:t>
      </w:r>
    </w:p>
    <w:p>
      <w:pPr>
        <w:pStyle w:val="ListParagraph"/>
        <w:numPr>
          <w:ilvl w:val="0"/>
          <w:numId w:val="4"/>
        </w:numPr>
        <w:spacing w:after="60" w:line="270"/>
      </w:pPr>
      <w:r>
        <w:t xml:space="preserve">California Code of Regulations (Title 1 OAH; Title 8 WCAB) — govt.westlaw.com/calregs; dir.ca.gov.</w:t>
      </w:r>
    </w:p>
    <w:p>
      <w:pPr>
        <w:pStyle w:val="ListParagraph"/>
        <w:numPr>
          <w:ilvl w:val="0"/>
          <w:numId w:val="4"/>
        </w:numPr>
        <w:spacing w:after="60" w:line="270"/>
      </w:pPr>
      <w:r>
        <w:t xml:space="preserve">California Style Manual (4th ed.) and The Bluebook (21st ed.).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6"/>
        <w:szCs w:val="16"/>
      </w:rPr>
      <w:t xml:space="preserve">Claude Law  ·  </w:t>
    </w:r>
    <w:r>
      <w:rPr>
        <w:color w:val="808080"/>
        <w:sz w:val="16"/>
        <w:szCs w:val="16"/>
      </w:rPr>
      <w:t xml:space="preserve">Page </w:t>
    </w:r>
    <w:r>
      <w:rPr>
        <w:color w:val="808080"/>
        <w:sz w:val="16"/>
        <w:szCs w:val="16"/>
      </w:rPr>
      <w:fldChar w:fldCharType="begin"/>
      <w:instrText xml:space="preserve">PAGE</w:instrText>
      <w:fldChar w:fldCharType="separate"/>
      <w:fldChar w:fldCharType="end"/>
    </w:r>
    <w:r>
      <w:rPr>
        <w:color w:val="808080"/>
        <w:sz w:val="16"/>
        <w:szCs w:val="16"/>
      </w:rPr>
      <w:t xml:space="preserve"> of </w:t>
    </w:r>
    <w:r>
      <w:rPr>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4C6E7" w:sz="4" w:space="2"/>
      </w:pBdr>
      <w:spacing w:after="0"/>
      <w:jc w:val="right"/>
    </w:pPr>
    <w:r>
      <w:rPr>
        <w:color w:val="808080"/>
        <w:sz w:val="14"/>
        <w:szCs w:val="14"/>
      </w:rPr>
      <w:t xml:space="preserve">California Legal Writing &amp; Court Formatting — Master Reference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abstractNum w:abstractNumId="3" w15:restartNumberingAfterBreak="0">
    <w:multiLevelType w:val="hybridMultilevel"/>
    <w:lvl w:ilvl="0" w15:tentative="1">
      <w:start w:val="1"/>
      <w:numFmt w:val="decimal"/>
      <w:lvlText w:val="%1."/>
      <w:lvlJc w:val="left"/>
      <w:pPr>
        <w:ind w:left="540" w:hanging="300"/>
      </w:pPr>
    </w:lvl>
  </w:abstractNum>
  <w:abstractNum w:abstractNumId="4" w15:restartNumberingAfterBreak="0">
    <w:multiLevelType w:val="hybridMultilevel"/>
    <w:lvl w:ilvl="0" w15:tentative="1">
      <w:start w:val="1"/>
      <w:numFmt w:val="decimal"/>
      <w:lvlText w:val="%1."/>
      <w:lvlJc w:val="left"/>
      <w:pPr>
        <w:ind w:left="540" w:hanging="300"/>
      </w:pPr>
    </w:lvl>
  </w:abstractNum>
  <w:abstractNum w:abstractNumId="5" w15:restartNumberingAfterBreak="0">
    <w:multiLevelType w:val="hybridMultilevel"/>
    <w:lvl w:ilvl="0" w15:tentative="1">
      <w:start w:val="1"/>
      <w:numFmt w:val="decimal"/>
      <w:lvlText w:val="%1."/>
      <w:lvlJc w:val="left"/>
      <w:pPr>
        <w:ind w:left="540" w:hanging="300"/>
      </w:pPr>
    </w:lvl>
  </w:abstractNum>
  <w:num w:numId="1">
    <w:abstractNumId w:val="1"/>
    <w:lvlOverride w:ilvl="0">
      <w:startOverride w:val="1"/>
    </w:lvlOverride>
  </w:num>
  <w:num w:numId="2">
    <w:abstractNumId w:val="4"/>
    <w:lvlOverride w:ilvl="0">
      <w:startOverride w:val="1"/>
    </w:lvlOverride>
  </w:num>
  <w:num w:numId="3">
    <w:abstractNumId w:val="3"/>
    <w:lvlOverride w:ilvl="0">
      <w:startOverride w:val="1"/>
    </w:lvlOverride>
  </w:num>
  <w:num w:numId="4">
    <w:abstractNumId w:val="2"/>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5496" w:sz="8" w:space="4"/>
      </w:pBdr>
      <w:spacing w:after="160" w:before="240"/>
      <w:outlineLvl w:val="0"/>
    </w:pPr>
    <w:rPr>
      <w:rFonts w:ascii="Calibri" w:cs="Calibri" w:eastAsia="Calibri" w:hAnsi="Calibri"/>
      <w:b/>
      <w:bCs/>
      <w:color w:val="1F3864"/>
      <w:sz w:val="32"/>
      <w:szCs w:val="32"/>
    </w:rPr>
  </w:style>
  <w:style w:type="paragraph" w:styleId="Heading2">
    <w:name w:val="Heading 2"/>
    <w:basedOn w:val="Normal"/>
    <w:next w:val="Normal"/>
    <w:qFormat/>
    <w:pPr>
      <w:spacing w:after="120" w:before="220"/>
      <w:outlineLvl w:val="1"/>
    </w:pPr>
    <w:rPr>
      <w:rFonts w:ascii="Calibri" w:cs="Calibri" w:eastAsia="Calibri" w:hAnsi="Calibri"/>
      <w:b/>
      <w:bCs/>
      <w:color w:val="2E5496"/>
      <w:sz w:val="26"/>
      <w:szCs w:val="26"/>
    </w:rPr>
  </w:style>
  <w:style w:type="paragraph" w:styleId="Heading3">
    <w:name w:val="Heading 3"/>
    <w:basedOn w:val="Normal"/>
    <w:next w:val="Normal"/>
    <w:qFormat/>
    <w:pPr>
      <w:spacing w:after="80" w:before="160"/>
      <w:outlineLvl w:val="2"/>
    </w:pPr>
    <w:rPr>
      <w:rFonts w:ascii="Calibri" w:cs="Calibri" w:eastAsia="Calibri" w:hAnsi="Calibri"/>
      <w:b/>
      <w:bCs/>
      <w:color w:val="40404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Legal Writing &amp; Court Formatting — Master Reference Guide</dc:title>
  <dc:creator>Claude Law</dc:creator>
  <cp:lastModifiedBy>Un-named</cp:lastModifiedBy>
  <cp:revision>1</cp:revision>
  <dcterms:created xsi:type="dcterms:W3CDTF">2026-06-26T08:30:58.978Z</dcterms:created>
  <dcterms:modified xsi:type="dcterms:W3CDTF">2026-06-26T08:30:58.978Z</dcterms:modified>
</cp:coreProperties>
</file>

<file path=docProps/custom.xml><?xml version="1.0" encoding="utf-8"?>
<Properties xmlns="http://schemas.openxmlformats.org/officeDocument/2006/custom-properties" xmlns:vt="http://schemas.openxmlformats.org/officeDocument/2006/docPropsVTypes"/>
</file>